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0D0A" w14:textId="77777777" w:rsidR="00ED2EDA" w:rsidRDefault="00ED2EDA" w:rsidP="00ED2EDA">
      <w:pPr>
        <w:jc w:val="both"/>
        <w:rPr>
          <w:rFonts w:cs="Arial"/>
          <w:szCs w:val="20"/>
        </w:rPr>
      </w:pPr>
    </w:p>
    <w:p w14:paraId="371D603E" w14:textId="77777777" w:rsidR="004C1F9C" w:rsidRPr="009104A5" w:rsidRDefault="004C1F9C" w:rsidP="004C1F9C">
      <w:pPr>
        <w:jc w:val="center"/>
        <w:rPr>
          <w:rFonts w:cs="Arial"/>
          <w:b/>
          <w:bCs/>
          <w:szCs w:val="20"/>
          <w:u w:val="single"/>
          <w:lang w:val="es-CL"/>
        </w:rPr>
      </w:pPr>
      <w:r w:rsidRPr="009104A5">
        <w:rPr>
          <w:rFonts w:cs="Arial"/>
          <w:b/>
          <w:bCs/>
          <w:szCs w:val="20"/>
          <w:u w:val="single"/>
          <w:lang w:val="es-CL"/>
        </w:rPr>
        <w:t>TÉRMINOS Y CONDICIONES GENERALES DE HEXAGON MINING</w:t>
      </w:r>
    </w:p>
    <w:p w14:paraId="7D01F79F" w14:textId="77777777" w:rsidR="004C1F9C" w:rsidRPr="009104A5" w:rsidRDefault="004C1F9C" w:rsidP="004C1F9C">
      <w:pPr>
        <w:jc w:val="both"/>
        <w:rPr>
          <w:rFonts w:cs="Arial"/>
          <w:szCs w:val="20"/>
          <w:lang w:val="es-CL"/>
        </w:rPr>
      </w:pPr>
    </w:p>
    <w:p w14:paraId="4F858B71" w14:textId="338E5F6D" w:rsidR="004C1F9C" w:rsidRPr="004C1F9C" w:rsidRDefault="004C1F9C" w:rsidP="004C1F9C">
      <w:pPr>
        <w:jc w:val="both"/>
        <w:rPr>
          <w:rFonts w:cs="Arial"/>
          <w:color w:val="auto"/>
          <w:szCs w:val="20"/>
          <w:lang w:val="es-CL"/>
        </w:rPr>
      </w:pPr>
      <w:r w:rsidRPr="004C1F9C">
        <w:rPr>
          <w:rFonts w:cs="Arial"/>
          <w:color w:val="auto"/>
          <w:szCs w:val="20"/>
          <w:lang w:val="es-CL"/>
        </w:rPr>
        <w:t>Estos Términos y Condiciones Generales y la cotización / propuesta de Hexagon o pedido generado por Hexagon y firmado o acordado por escrito entre Hexagon y el Cliente ("</w:t>
      </w:r>
      <w:r w:rsidRPr="004C1F9C">
        <w:rPr>
          <w:rFonts w:cs="Arial"/>
          <w:b/>
          <w:bCs/>
          <w:color w:val="auto"/>
          <w:szCs w:val="20"/>
          <w:lang w:val="es-CL"/>
        </w:rPr>
        <w:t>Pedido</w:t>
      </w:r>
      <w:r w:rsidRPr="004C1F9C">
        <w:rPr>
          <w:rFonts w:cs="Arial"/>
          <w:color w:val="auto"/>
          <w:szCs w:val="20"/>
          <w:lang w:val="es-CL"/>
        </w:rPr>
        <w:t>") juntos forman el acuerdo vinculante completo ("</w:t>
      </w:r>
      <w:r w:rsidRPr="004C1F9C">
        <w:rPr>
          <w:rFonts w:cs="Arial"/>
          <w:b/>
          <w:bCs/>
          <w:color w:val="auto"/>
          <w:szCs w:val="20"/>
          <w:lang w:val="es-CL"/>
        </w:rPr>
        <w:t>Contrato</w:t>
      </w:r>
      <w:r w:rsidRPr="004C1F9C">
        <w:rPr>
          <w:rFonts w:cs="Arial"/>
          <w:color w:val="auto"/>
          <w:szCs w:val="20"/>
          <w:lang w:val="es-CL"/>
        </w:rPr>
        <w:t xml:space="preserve">") entre las partes para el uso de </w:t>
      </w:r>
      <w:r w:rsidRPr="004C1F9C">
        <w:rPr>
          <w:rFonts w:cs="Arial"/>
          <w:b/>
          <w:bCs/>
          <w:color w:val="auto"/>
          <w:szCs w:val="20"/>
          <w:lang w:val="es-CL"/>
        </w:rPr>
        <w:t>Hardware</w:t>
      </w:r>
      <w:r w:rsidRPr="004C1F9C">
        <w:rPr>
          <w:rFonts w:cs="Arial"/>
          <w:color w:val="auto"/>
          <w:szCs w:val="20"/>
          <w:lang w:val="es-CL"/>
        </w:rPr>
        <w:t xml:space="preserve"> y </w:t>
      </w:r>
      <w:r w:rsidRPr="004C1F9C">
        <w:rPr>
          <w:rFonts w:cs="Arial"/>
          <w:b/>
          <w:bCs/>
          <w:color w:val="auto"/>
          <w:szCs w:val="20"/>
          <w:lang w:val="es-CL"/>
        </w:rPr>
        <w:t>Software</w:t>
      </w:r>
      <w:r w:rsidRPr="004C1F9C">
        <w:rPr>
          <w:rFonts w:cs="Arial"/>
          <w:color w:val="auto"/>
          <w:szCs w:val="20"/>
          <w:lang w:val="es-CL"/>
        </w:rPr>
        <w:t xml:space="preserve">  de Hexagon, la prestación de servicios profesionales ("</w:t>
      </w:r>
      <w:r w:rsidRPr="004C1F9C">
        <w:rPr>
          <w:rFonts w:cs="Arial"/>
          <w:b/>
          <w:bCs/>
          <w:color w:val="auto"/>
          <w:szCs w:val="20"/>
          <w:lang w:val="es-CL"/>
        </w:rPr>
        <w:t>Servicios</w:t>
      </w:r>
      <w:r w:rsidRPr="004C1F9C">
        <w:rPr>
          <w:rFonts w:cs="Arial"/>
          <w:color w:val="auto"/>
          <w:szCs w:val="20"/>
          <w:lang w:val="es-CL"/>
        </w:rPr>
        <w:t>"), la suscripción o arrendamiento de software y / o hardware ("</w:t>
      </w:r>
      <w:r w:rsidRPr="004C1F9C">
        <w:rPr>
          <w:rFonts w:cs="Arial"/>
          <w:b/>
          <w:bCs/>
          <w:color w:val="auto"/>
          <w:szCs w:val="20"/>
          <w:lang w:val="es-CL"/>
        </w:rPr>
        <w:t>Suscripción</w:t>
      </w:r>
      <w:r w:rsidRPr="004C1F9C">
        <w:rPr>
          <w:rFonts w:cs="Arial"/>
          <w:color w:val="auto"/>
          <w:szCs w:val="20"/>
          <w:lang w:val="es-CL"/>
        </w:rPr>
        <w:t>") y el mantenimiento anual ("</w:t>
      </w:r>
      <w:r w:rsidRPr="004C1F9C">
        <w:rPr>
          <w:rFonts w:cs="Arial"/>
          <w:b/>
          <w:bCs/>
          <w:color w:val="auto"/>
          <w:szCs w:val="20"/>
          <w:lang w:val="es-CL"/>
        </w:rPr>
        <w:t>Mantenimiento</w:t>
      </w:r>
      <w:r w:rsidRPr="004C1F9C">
        <w:rPr>
          <w:rFonts w:cs="Arial"/>
          <w:color w:val="auto"/>
          <w:szCs w:val="20"/>
          <w:lang w:val="es-CL"/>
        </w:rPr>
        <w:t>") con su respectiva renovación ("</w:t>
      </w:r>
      <w:r w:rsidRPr="004C1F9C">
        <w:rPr>
          <w:rFonts w:cs="Arial"/>
          <w:b/>
          <w:bCs/>
          <w:color w:val="auto"/>
          <w:szCs w:val="20"/>
          <w:lang w:val="es-CL"/>
        </w:rPr>
        <w:t>Renovación</w:t>
      </w:r>
      <w:r w:rsidRPr="004C1F9C">
        <w:rPr>
          <w:rFonts w:cs="Arial"/>
          <w:color w:val="auto"/>
          <w:szCs w:val="20"/>
          <w:lang w:val="es-CL"/>
        </w:rPr>
        <w:t>") según lo acordado por las partes en lo respectivo Pedido.</w:t>
      </w:r>
    </w:p>
    <w:p w14:paraId="5143517B" w14:textId="77777777" w:rsidR="004C1F9C" w:rsidRPr="004C1F9C" w:rsidRDefault="004C1F9C" w:rsidP="004C1F9C">
      <w:pPr>
        <w:jc w:val="both"/>
        <w:rPr>
          <w:rFonts w:cs="Arial"/>
          <w:color w:val="auto"/>
          <w:szCs w:val="20"/>
          <w:lang w:val="es-CL"/>
        </w:rPr>
      </w:pPr>
    </w:p>
    <w:p w14:paraId="1E99B6F3" w14:textId="77777777" w:rsidR="004C1F9C" w:rsidRPr="004C1F9C" w:rsidRDefault="004C1F9C" w:rsidP="004C1F9C">
      <w:pPr>
        <w:jc w:val="both"/>
        <w:rPr>
          <w:rFonts w:cs="Arial"/>
          <w:color w:val="auto"/>
          <w:szCs w:val="20"/>
          <w:lang w:val="es-CL"/>
        </w:rPr>
      </w:pPr>
      <w:r w:rsidRPr="004C1F9C">
        <w:rPr>
          <w:rFonts w:cs="Arial"/>
          <w:b/>
          <w:color w:val="auto"/>
          <w:szCs w:val="20"/>
          <w:lang w:val="es-CL"/>
        </w:rPr>
        <w:t>1</w:t>
      </w:r>
      <w:r w:rsidRPr="004C1F9C">
        <w:rPr>
          <w:rFonts w:cs="Arial"/>
          <w:color w:val="auto"/>
          <w:szCs w:val="20"/>
          <w:lang w:val="es-CL"/>
        </w:rPr>
        <w:t xml:space="preserve">. </w:t>
      </w:r>
      <w:r w:rsidRPr="004C1F9C">
        <w:rPr>
          <w:rFonts w:cs="Arial"/>
          <w:b/>
          <w:bCs/>
          <w:color w:val="auto"/>
          <w:szCs w:val="20"/>
          <w:u w:val="single"/>
          <w:lang w:val="es-CL"/>
        </w:rPr>
        <w:t>Partes</w:t>
      </w:r>
      <w:r w:rsidRPr="004C1F9C">
        <w:rPr>
          <w:rFonts w:cs="Arial"/>
          <w:color w:val="auto"/>
          <w:szCs w:val="20"/>
          <w:lang w:val="es-CL"/>
        </w:rPr>
        <w:t xml:space="preserve">. </w:t>
      </w:r>
      <w:r w:rsidRPr="004C1F9C">
        <w:rPr>
          <w:rFonts w:cs="Arial"/>
          <w:b/>
          <w:bCs/>
          <w:color w:val="auto"/>
          <w:szCs w:val="20"/>
          <w:lang w:val="es-CL"/>
        </w:rPr>
        <w:t>“Hexagon”</w:t>
      </w:r>
      <w:r w:rsidRPr="004C1F9C">
        <w:rPr>
          <w:rFonts w:cs="Arial"/>
          <w:color w:val="auto"/>
          <w:szCs w:val="20"/>
          <w:lang w:val="es-CL"/>
        </w:rPr>
        <w:t xml:space="preserve"> significa Hexagon </w:t>
      </w:r>
      <w:proofErr w:type="spellStart"/>
      <w:r w:rsidRPr="004C1F9C">
        <w:rPr>
          <w:rFonts w:cs="Arial"/>
          <w:color w:val="auto"/>
          <w:szCs w:val="20"/>
          <w:lang w:val="es-CL"/>
        </w:rPr>
        <w:t>Mining</w:t>
      </w:r>
      <w:proofErr w:type="spellEnd"/>
      <w:r w:rsidRPr="004C1F9C">
        <w:rPr>
          <w:rFonts w:cs="Arial"/>
          <w:color w:val="auto"/>
          <w:szCs w:val="20"/>
          <w:lang w:val="es-CL"/>
        </w:rPr>
        <w:t xml:space="preserve"> Inc. o su filial indicada en lo Pedido. </w:t>
      </w:r>
      <w:r w:rsidRPr="004C1F9C">
        <w:rPr>
          <w:rFonts w:cs="Arial"/>
          <w:b/>
          <w:bCs/>
          <w:color w:val="auto"/>
          <w:szCs w:val="20"/>
          <w:lang w:val="es-CL"/>
        </w:rPr>
        <w:t>"Cliente"</w:t>
      </w:r>
      <w:r w:rsidRPr="004C1F9C">
        <w:rPr>
          <w:rFonts w:cs="Arial"/>
          <w:color w:val="auto"/>
          <w:szCs w:val="20"/>
          <w:lang w:val="es-CL"/>
        </w:rPr>
        <w:t xml:space="preserve"> se refiere a la entidad identificada en lo Pedido, salvo que las partes acuerden lo contrario por escrito. Hexagon y el Cliente pueden denominarse individualmente "parte" o colectivamente como "partes". El Cliente acepta expresamente que las únicas partes del Contrato son el Cliente y solo la filial de Hexagon específica indicada en lo Pedido, y ninguna otra filial de Hexagon está obligada o responsable en virtud del presente. El Cliente acepta que es el único responsable de su uso, sus afiliados y sus respectivos empleados y contratistas (colectivamente, </w:t>
      </w:r>
      <w:r w:rsidRPr="004C1F9C">
        <w:rPr>
          <w:rFonts w:cs="Arial"/>
          <w:b/>
          <w:bCs/>
          <w:color w:val="auto"/>
          <w:szCs w:val="20"/>
          <w:lang w:val="es-CL"/>
        </w:rPr>
        <w:t>"Partes del Cliente")</w:t>
      </w:r>
      <w:r w:rsidRPr="004C1F9C">
        <w:rPr>
          <w:rFonts w:cs="Arial"/>
          <w:color w:val="auto"/>
          <w:szCs w:val="20"/>
          <w:lang w:val="es-CL"/>
        </w:rPr>
        <w:t xml:space="preserve"> del Hardware, Software, Servicios, Suscripción, Mantenimiento y Renovación (colectivamente los </w:t>
      </w:r>
      <w:r w:rsidRPr="004C1F9C">
        <w:rPr>
          <w:rFonts w:cs="Arial"/>
          <w:b/>
          <w:bCs/>
          <w:color w:val="auto"/>
          <w:szCs w:val="20"/>
          <w:lang w:val="es-CL"/>
        </w:rPr>
        <w:t>"Productos"</w:t>
      </w:r>
      <w:r w:rsidRPr="004C1F9C">
        <w:rPr>
          <w:rFonts w:cs="Arial"/>
          <w:color w:val="auto"/>
          <w:szCs w:val="20"/>
          <w:lang w:val="es-CL"/>
        </w:rPr>
        <w:t>) y cumplimiento de este Contrato.</w:t>
      </w:r>
    </w:p>
    <w:p w14:paraId="0A0C44E6" w14:textId="77777777" w:rsidR="004C1F9C" w:rsidRPr="004C1F9C" w:rsidRDefault="004C1F9C" w:rsidP="004C1F9C">
      <w:pPr>
        <w:jc w:val="both"/>
        <w:rPr>
          <w:rFonts w:cs="Arial"/>
          <w:color w:val="auto"/>
          <w:szCs w:val="20"/>
          <w:lang w:val="es-CL"/>
        </w:rPr>
      </w:pPr>
    </w:p>
    <w:p w14:paraId="13BBDD03" w14:textId="77777777" w:rsidR="004C1F9C" w:rsidRPr="004C1F9C" w:rsidRDefault="004C1F9C" w:rsidP="004C1F9C">
      <w:pPr>
        <w:jc w:val="both"/>
        <w:rPr>
          <w:rFonts w:cs="Arial"/>
          <w:smallCaps/>
          <w:color w:val="auto"/>
          <w:szCs w:val="20"/>
          <w:lang w:val="es-CL"/>
        </w:rPr>
      </w:pPr>
      <w:r w:rsidRPr="004C1F9C">
        <w:rPr>
          <w:rFonts w:cs="Arial"/>
          <w:b/>
          <w:smallCaps/>
          <w:color w:val="auto"/>
          <w:szCs w:val="20"/>
          <w:lang w:val="es-CL"/>
        </w:rPr>
        <w:t>2</w:t>
      </w:r>
      <w:r w:rsidRPr="004C1F9C">
        <w:rPr>
          <w:rFonts w:cs="Arial"/>
          <w:smallCaps/>
          <w:color w:val="auto"/>
          <w:szCs w:val="20"/>
          <w:lang w:val="es-CL"/>
        </w:rPr>
        <w:t xml:space="preserve">. </w:t>
      </w:r>
      <w:r w:rsidRPr="004C1F9C">
        <w:rPr>
          <w:rFonts w:cs="Arial"/>
          <w:b/>
          <w:bCs/>
          <w:smallCaps/>
          <w:color w:val="auto"/>
          <w:szCs w:val="20"/>
          <w:u w:val="single"/>
          <w:lang w:val="es-CL"/>
        </w:rPr>
        <w:t>Aviso Importante De Lesiones Personales</w:t>
      </w:r>
      <w:r w:rsidRPr="004C1F9C">
        <w:rPr>
          <w:rFonts w:cs="Arial"/>
          <w:smallCaps/>
          <w:color w:val="auto"/>
          <w:szCs w:val="20"/>
          <w:lang w:val="es-CL"/>
        </w:rPr>
        <w:t xml:space="preserve">. todos los productos de seguridad de Hexagon, incluyendo, pero no limitado a, alerta del tráfico, anticolisión, sistemas de monitoreo de fatiga, sistemas de gestión de flotas, guía de alta precisión y productos de monitoreo de estructuras, están diseñados como herramientas adicionales para ayudar a identificar el poder de la actividad mineral y el potencial de identificación. Estos productos son para apoyar, no reemplazar, al conductor, operador u otro personal cualificado, alerta y consciente. Ningún producto puede detectar todas las amenazas dentro de la ventana de detección. </w:t>
      </w:r>
      <w:r w:rsidRPr="004C1F9C">
        <w:rPr>
          <w:rFonts w:cs="Arial"/>
          <w:b/>
          <w:bCs/>
          <w:smallCaps/>
          <w:color w:val="auto"/>
          <w:szCs w:val="20"/>
          <w:lang w:val="es-CL"/>
        </w:rPr>
        <w:t>Los productos no están diseñados como sustitutos de los procedimientos de conducción segura y de control visual y escaneado</w:t>
      </w:r>
      <w:r w:rsidRPr="004C1F9C">
        <w:rPr>
          <w:rFonts w:cs="Arial"/>
          <w:smallCaps/>
          <w:color w:val="auto"/>
          <w:szCs w:val="20"/>
          <w:lang w:val="es-CL"/>
        </w:rPr>
        <w:t>. se requiere una persona vigilante y eficaz en todo momento en todas las situaciones. el operador del vehículo sigue totalmente responsable de operar el vehículo y de garantizar la seguridad de los pasajeros, peatones y otros tráfico. El Cliente no debe utilizar los productos de Hexagon en escenarios diferentes a su uso previsto y autorizado. Antes de instalar, manipular, utilizar o reparar cualquier producto, el Cliente deberá revisar la hoja de datos, los manuales y las notas de aplicación para asegurarse de una comprensión completa de las operaciones y limitaciones de dicho producto. El incumplimiento de estas instrucciones podrá resultar en lesiones graves o la muerte.</w:t>
      </w:r>
    </w:p>
    <w:p w14:paraId="291A6B12" w14:textId="77777777" w:rsidR="004C1F9C" w:rsidRPr="004C1F9C" w:rsidRDefault="004C1F9C" w:rsidP="004C1F9C">
      <w:pPr>
        <w:jc w:val="both"/>
        <w:rPr>
          <w:rFonts w:cs="Arial"/>
          <w:color w:val="auto"/>
          <w:szCs w:val="20"/>
          <w:lang w:val="es-CL"/>
        </w:rPr>
      </w:pPr>
    </w:p>
    <w:p w14:paraId="59A26148" w14:textId="64050C9B" w:rsidR="004C1F9C" w:rsidRPr="004C1F9C" w:rsidRDefault="004C1F9C" w:rsidP="004C1F9C">
      <w:pPr>
        <w:pStyle w:val="DownerListNumber4"/>
        <w:numPr>
          <w:ilvl w:val="3"/>
          <w:numId w:val="0"/>
        </w:numPr>
        <w:rPr>
          <w:sz w:val="20"/>
          <w:szCs w:val="20"/>
          <w:lang w:val="es-CL"/>
        </w:rPr>
      </w:pPr>
      <w:r w:rsidRPr="004C1F9C">
        <w:rPr>
          <w:b/>
          <w:sz w:val="20"/>
          <w:szCs w:val="20"/>
          <w:lang w:val="es-CL"/>
        </w:rPr>
        <w:t>3</w:t>
      </w:r>
      <w:r w:rsidRPr="004C1F9C">
        <w:rPr>
          <w:sz w:val="20"/>
          <w:szCs w:val="20"/>
          <w:lang w:val="es-CL"/>
        </w:rPr>
        <w:t xml:space="preserve">. </w:t>
      </w:r>
      <w:r w:rsidRPr="004C1F9C">
        <w:rPr>
          <w:b/>
          <w:bCs/>
          <w:sz w:val="20"/>
          <w:szCs w:val="20"/>
          <w:u w:val="single"/>
          <w:lang w:val="es-CL"/>
        </w:rPr>
        <w:t>Pedidos</w:t>
      </w:r>
      <w:r w:rsidRPr="004C1F9C">
        <w:rPr>
          <w:sz w:val="20"/>
          <w:szCs w:val="20"/>
          <w:lang w:val="es-CL"/>
        </w:rPr>
        <w:t xml:space="preserve">. Hexagon procesará el Pedido identificando los Productos que se suministrarán, licenciarán, comprarán o arrendarán, según sea el caso, los precios aplicables, el envío solicitado o las fechas de provisión según corresponda para la cantidad de los Productos, el plazo y cualquier otra restricción de uso. A menos que se indique lo contrario en el Pedido, todo el Hardware y el Software se suministran mediante suscripción durante el plazo establecido en el Pedido. </w:t>
      </w:r>
      <w:r w:rsidRPr="004C1F9C">
        <w:rPr>
          <w:b/>
          <w:bCs/>
          <w:sz w:val="20"/>
          <w:szCs w:val="20"/>
          <w:u w:val="single"/>
          <w:lang w:val="es-CL"/>
        </w:rPr>
        <w:t>Los pedidos no se pueden cancelar ni devolver</w:t>
      </w:r>
      <w:r w:rsidRPr="004C1F9C">
        <w:rPr>
          <w:b/>
          <w:bCs/>
          <w:sz w:val="20"/>
          <w:szCs w:val="20"/>
          <w:lang w:val="es-CL"/>
        </w:rPr>
        <w:t xml:space="preserve"> a menos que se indique lo contrario en el Pedido</w:t>
      </w:r>
      <w:r w:rsidRPr="004C1F9C">
        <w:rPr>
          <w:sz w:val="20"/>
          <w:szCs w:val="20"/>
          <w:lang w:val="es-CL"/>
        </w:rPr>
        <w:t>. Si Hexagon considera que un Pedido emitido no es consistente con los términos de este Acuerdo o con su Propuesta / Cotización, Hexagon debe proporcionar, a más tardar diez (10) Días Hábiles después de recibir lo Pedido, una notificación por escrito al Cliente, incluyendo detalles de los aspectos del Pedido que Hexagon considera que no son consistentes con este Contrato. Si Hexagon no proporciona un aviso por escrito de acuerdo con el tiempo especificado, se considerará que Hexagon ha aceptado el Pedido.</w:t>
      </w:r>
    </w:p>
    <w:p w14:paraId="457AE557" w14:textId="77777777" w:rsidR="004C1F9C" w:rsidRPr="004C1F9C" w:rsidRDefault="004C1F9C" w:rsidP="004C1F9C">
      <w:pPr>
        <w:jc w:val="both"/>
        <w:rPr>
          <w:rFonts w:cs="Arial"/>
          <w:color w:val="auto"/>
          <w:szCs w:val="20"/>
          <w:lang w:val="es-CL"/>
        </w:rPr>
      </w:pPr>
    </w:p>
    <w:p w14:paraId="16BD20CF" w14:textId="1AD69432" w:rsidR="004C1F9C" w:rsidRPr="004C1F9C" w:rsidRDefault="004C1F9C" w:rsidP="004C1F9C">
      <w:pPr>
        <w:jc w:val="both"/>
        <w:rPr>
          <w:rFonts w:cs="Arial"/>
          <w:color w:val="auto"/>
          <w:szCs w:val="20"/>
          <w:lang w:val="es-CL"/>
        </w:rPr>
      </w:pPr>
      <w:r w:rsidRPr="004C1F9C">
        <w:rPr>
          <w:rFonts w:cs="Arial"/>
          <w:b/>
          <w:color w:val="auto"/>
          <w:szCs w:val="20"/>
          <w:lang w:val="es-CL"/>
        </w:rPr>
        <w:t>4</w:t>
      </w:r>
      <w:r w:rsidRPr="004C1F9C">
        <w:rPr>
          <w:rFonts w:cs="Arial"/>
          <w:color w:val="auto"/>
          <w:szCs w:val="20"/>
          <w:lang w:val="es-CL"/>
        </w:rPr>
        <w:t xml:space="preserve">. </w:t>
      </w:r>
      <w:r w:rsidRPr="004C1F9C">
        <w:rPr>
          <w:rFonts w:cs="Arial"/>
          <w:b/>
          <w:bCs/>
          <w:color w:val="auto"/>
          <w:szCs w:val="20"/>
          <w:u w:val="single"/>
          <w:lang w:val="es-CL"/>
        </w:rPr>
        <w:t>Documentación</w:t>
      </w:r>
      <w:r w:rsidRPr="004C1F9C">
        <w:rPr>
          <w:rFonts w:cs="Arial"/>
          <w:color w:val="auto"/>
          <w:szCs w:val="20"/>
          <w:lang w:val="es-CL"/>
        </w:rPr>
        <w:t>. Hexagon proporcionará o pondrá a disposición del Cliente electrónicamente todos los manuales operativos y procedimientos de trabajo seguros aplicables (en conjunto, la “</w:t>
      </w:r>
      <w:r w:rsidRPr="004C1F9C">
        <w:rPr>
          <w:rFonts w:cs="Arial"/>
          <w:b/>
          <w:bCs/>
          <w:color w:val="auto"/>
          <w:szCs w:val="20"/>
          <w:lang w:val="es-CL"/>
        </w:rPr>
        <w:t>Documentación</w:t>
      </w:r>
      <w:r w:rsidRPr="004C1F9C">
        <w:rPr>
          <w:rFonts w:cs="Arial"/>
          <w:color w:val="auto"/>
          <w:szCs w:val="20"/>
          <w:lang w:val="es-CL"/>
        </w:rPr>
        <w:t xml:space="preserve">”) para los Productos. El Cliente debe revisar la documentación antes de usar cualquier producto. Si el Cliente no recibe o no comprende la Documentación, el Cliente acepta ponerse en contacto con Hexagon antes de usar o acceder a cualquier Producto. El Cliente puede copiar o reproducir la Documentación según sea razonablemente necesario para utilizar los Productos durante el plazo aplicable. El Cliente debe asegurarse de que las copias indiquen claramente que la </w:t>
      </w:r>
      <w:r w:rsidRPr="004C1F9C">
        <w:rPr>
          <w:rFonts w:cs="Arial"/>
          <w:color w:val="auto"/>
          <w:szCs w:val="20"/>
          <w:lang w:val="es-CL"/>
        </w:rPr>
        <w:lastRenderedPageBreak/>
        <w:t>Documentación pertenece a Hexagon y no debe ser reproducida excepto según lo permita expresamente el Contrato.</w:t>
      </w:r>
    </w:p>
    <w:p w14:paraId="34FFF172" w14:textId="77777777" w:rsidR="004C1F9C" w:rsidRPr="004C1F9C" w:rsidRDefault="004C1F9C" w:rsidP="004C1F9C">
      <w:pPr>
        <w:jc w:val="both"/>
        <w:rPr>
          <w:rFonts w:cs="Arial"/>
          <w:color w:val="auto"/>
          <w:szCs w:val="20"/>
          <w:lang w:val="es-CL"/>
        </w:rPr>
      </w:pPr>
    </w:p>
    <w:p w14:paraId="4A6EE043" w14:textId="77777777" w:rsidR="004C1F9C" w:rsidRPr="004C1F9C" w:rsidRDefault="004C1F9C" w:rsidP="004C1F9C">
      <w:pPr>
        <w:jc w:val="both"/>
        <w:rPr>
          <w:rFonts w:cs="Arial"/>
          <w:color w:val="auto"/>
          <w:szCs w:val="20"/>
          <w:lang w:val="es-CL"/>
        </w:rPr>
      </w:pPr>
      <w:r w:rsidRPr="004C1F9C">
        <w:rPr>
          <w:rFonts w:cs="Arial"/>
          <w:b/>
          <w:color w:val="auto"/>
          <w:szCs w:val="20"/>
          <w:lang w:val="es-CL"/>
        </w:rPr>
        <w:t>5</w:t>
      </w:r>
      <w:r w:rsidRPr="004C1F9C">
        <w:rPr>
          <w:rFonts w:cs="Arial"/>
          <w:color w:val="auto"/>
          <w:szCs w:val="20"/>
          <w:lang w:val="es-CL"/>
        </w:rPr>
        <w:t xml:space="preserve">. </w:t>
      </w:r>
      <w:r w:rsidRPr="004C1F9C">
        <w:rPr>
          <w:rFonts w:cs="Arial"/>
          <w:b/>
          <w:bCs/>
          <w:color w:val="auto"/>
          <w:szCs w:val="20"/>
          <w:u w:val="single"/>
          <w:lang w:val="es-CL"/>
        </w:rPr>
        <w:t>Transferencias de Datos; Privacidad.</w:t>
      </w:r>
      <w:r w:rsidRPr="004C1F9C">
        <w:rPr>
          <w:rFonts w:cs="Arial"/>
          <w:color w:val="auto"/>
          <w:szCs w:val="20"/>
          <w:lang w:val="es-CL"/>
        </w:rPr>
        <w:t xml:space="preserve"> El Cliente comprende y acepta que ciertos Productos pueden requerir la divulgación y el uso de ciertos datos por parte de Hexagon con respecto a las Partes del Cliente. Según la ley aplicable, dichos datos son o pueden considerarse información de identificación personal o información confidencial, como la ubicación del empleado y los datos biométricos faciales. El Cliente es el único responsable de obtener los consentimientos requeridos, proporcionar los avisos requeridos y, de lo contrario, garantizar que tiene el derecho de usar y divulgar dichos datos a Hexagon según las leyes aplicables, incluido, entre otros, el Reglamento General de Protección de Datos y cualquier ley similar de privacidad o seguridad de datos en la jurisdicción legal aplicable. Hexagon está comprometida con el procesamiento seguro de dichos datos y el cumplimiento de la ley de protección de datos aplicable. Hexagon ha implementado medidas técnicas, administrativas y físicas razonables para ayudar a proteger dichos datos contra pérdidas o accesos ilegales. Hexagon recopila, usa y divulga datos de acuerdo con su política de privacidad, disponible aquí: </w:t>
      </w:r>
      <w:hyperlink r:id="rId8" w:history="1">
        <w:r w:rsidRPr="00843BBC">
          <w:rPr>
            <w:rStyle w:val="Hyperlink"/>
            <w:rFonts w:cs="Arial"/>
            <w:szCs w:val="20"/>
            <w:lang w:val="es-CL"/>
          </w:rPr>
          <w:t>https://hexagonmining.com/privacy-policy</w:t>
        </w:r>
      </w:hyperlink>
      <w:r w:rsidRPr="009104A5">
        <w:rPr>
          <w:rFonts w:cs="Arial"/>
          <w:szCs w:val="20"/>
          <w:lang w:val="es-CL"/>
        </w:rPr>
        <w:t xml:space="preserve">. </w:t>
      </w:r>
      <w:r w:rsidRPr="004C1F9C">
        <w:rPr>
          <w:rFonts w:cs="Arial"/>
          <w:color w:val="auto"/>
          <w:szCs w:val="20"/>
          <w:lang w:val="es-CL"/>
        </w:rPr>
        <w:t>A menos que se acuerde lo contrario, Hexagon tendrá derecho a destruir la información de identificación personal de los empleados y contratistas del Cliente que operan el equipo minero del Cliente después de treinta (30) días, de conformidad con el artículo 16.17 a continuación. Hexagon procesará la información de identificación personal de los operadores de equipos mineros del Cliente solo para los fines establecidos en la privacidad de datos según corresponda a los Productos.</w:t>
      </w:r>
    </w:p>
    <w:p w14:paraId="1A9E5378" w14:textId="77777777" w:rsidR="004C1F9C" w:rsidRPr="004C1F9C" w:rsidRDefault="004C1F9C" w:rsidP="004C1F9C">
      <w:pPr>
        <w:jc w:val="both"/>
        <w:rPr>
          <w:rFonts w:cs="Arial"/>
          <w:color w:val="auto"/>
          <w:szCs w:val="20"/>
          <w:lang w:val="es-CL"/>
        </w:rPr>
      </w:pPr>
    </w:p>
    <w:p w14:paraId="46F4D000" w14:textId="77777777" w:rsidR="004C1F9C" w:rsidRPr="004C1F9C" w:rsidRDefault="004C1F9C" w:rsidP="004C1F9C">
      <w:pPr>
        <w:jc w:val="both"/>
        <w:rPr>
          <w:rFonts w:cs="Arial"/>
          <w:color w:val="auto"/>
          <w:szCs w:val="20"/>
          <w:lang w:val="es-CL"/>
        </w:rPr>
      </w:pPr>
      <w:r w:rsidRPr="004C1F9C">
        <w:rPr>
          <w:rFonts w:cs="Arial"/>
          <w:b/>
          <w:color w:val="auto"/>
          <w:szCs w:val="20"/>
          <w:lang w:val="es-CL"/>
        </w:rPr>
        <w:t>6</w:t>
      </w:r>
      <w:r w:rsidRPr="004C1F9C">
        <w:rPr>
          <w:rFonts w:cs="Arial"/>
          <w:color w:val="auto"/>
          <w:szCs w:val="20"/>
          <w:lang w:val="es-CL"/>
        </w:rPr>
        <w:t xml:space="preserve">. </w:t>
      </w:r>
      <w:r w:rsidRPr="004C1F9C">
        <w:rPr>
          <w:rFonts w:cs="Arial"/>
          <w:b/>
          <w:bCs/>
          <w:color w:val="auto"/>
          <w:szCs w:val="20"/>
          <w:u w:val="single"/>
          <w:lang w:val="es-CL"/>
        </w:rPr>
        <w:t>Propiedad Intelectual</w:t>
      </w:r>
      <w:r w:rsidRPr="004C1F9C">
        <w:rPr>
          <w:rFonts w:cs="Arial"/>
          <w:color w:val="auto"/>
          <w:szCs w:val="20"/>
          <w:lang w:val="es-CL"/>
        </w:rPr>
        <w:t>. No se otorgan derechos ni licencias al Cliente, excepto según lo establecido expresamente en el Contrato. Hexagon o sus licenciantes poseen y retienen todos los derechos de propiedad intelectual ("</w:t>
      </w:r>
      <w:r w:rsidRPr="004C1F9C">
        <w:rPr>
          <w:rFonts w:cs="Arial"/>
          <w:b/>
          <w:bCs/>
          <w:color w:val="auto"/>
          <w:szCs w:val="20"/>
          <w:lang w:val="es-CL"/>
        </w:rPr>
        <w:t>IP</w:t>
      </w:r>
      <w:r w:rsidRPr="004C1F9C">
        <w:rPr>
          <w:rFonts w:cs="Arial"/>
          <w:color w:val="auto"/>
          <w:szCs w:val="20"/>
          <w:lang w:val="es-CL"/>
        </w:rPr>
        <w:t xml:space="preserve">") de los Productos (incluso todas las copias), incluidas las modificaciones o derivados de los mismos, ya sean realizadas por Hexagon, el Cliente o un tercero. Esto incluye los derechos de propiedad intelectual sobre los Productos, la Documentación y los derechos industriales y de propiedad intelectual en todo el mundo, incluidos los derechos de autor, patentes, marcas comerciales, diseños, secretos comerciales, trabajos de máscara, conocimientos técnicos, códigos fuente, algoritmos, derechos morales, información confidencial y diseños de circuitos. También se aplica a todos los conceptos, derechos de autor, desarrollos, descubrimientos, derivados, mejoras, actualizaciones, innovaciones, invenciones, técnicas y otros derechos de propiedad relacionados con los Productos y la Documentación, ya sean realizados por Hexagon, el Cliente o terceros. Estos derechos de propiedad intelectual están protegidos por numerosas leyes y tratados locales e internacionales. No </w:t>
      </w:r>
      <w:proofErr w:type="gramStart"/>
      <w:r w:rsidRPr="004C1F9C">
        <w:rPr>
          <w:rFonts w:cs="Arial"/>
          <w:color w:val="auto"/>
          <w:szCs w:val="20"/>
          <w:lang w:val="es-CL"/>
        </w:rPr>
        <w:t>obstante</w:t>
      </w:r>
      <w:proofErr w:type="gramEnd"/>
      <w:r w:rsidRPr="004C1F9C">
        <w:rPr>
          <w:rFonts w:cs="Arial"/>
          <w:color w:val="auto"/>
          <w:szCs w:val="20"/>
          <w:lang w:val="es-CL"/>
        </w:rPr>
        <w:t xml:space="preserve"> lo anterior, el Cliente conserva todos los derechos de propiedad intelectual sobre sus datos y los datos generados por los Productos correspondientes.</w:t>
      </w:r>
    </w:p>
    <w:p w14:paraId="38DC6CB0" w14:textId="77777777" w:rsidR="004C1F9C" w:rsidRPr="004C1F9C" w:rsidRDefault="004C1F9C" w:rsidP="004C1F9C">
      <w:pPr>
        <w:jc w:val="both"/>
        <w:rPr>
          <w:rFonts w:cs="Arial"/>
          <w:color w:val="auto"/>
          <w:szCs w:val="20"/>
          <w:lang w:val="es-CL"/>
        </w:rPr>
      </w:pPr>
    </w:p>
    <w:p w14:paraId="7B4269DC" w14:textId="77777777" w:rsidR="004C1F9C" w:rsidRPr="004C1F9C" w:rsidRDefault="004C1F9C" w:rsidP="004C1F9C">
      <w:pPr>
        <w:ind w:left="709" w:hanging="425"/>
        <w:jc w:val="both"/>
        <w:rPr>
          <w:rFonts w:cs="Arial"/>
          <w:color w:val="auto"/>
          <w:szCs w:val="20"/>
          <w:lang w:val="es-CL"/>
        </w:rPr>
      </w:pPr>
      <w:r w:rsidRPr="004C1F9C">
        <w:rPr>
          <w:rFonts w:cs="Arial"/>
          <w:color w:val="auto"/>
          <w:szCs w:val="20"/>
          <w:lang w:val="es-CL"/>
        </w:rPr>
        <w:t xml:space="preserve">6.1. </w:t>
      </w:r>
      <w:r w:rsidRPr="004C1F9C">
        <w:rPr>
          <w:rFonts w:cs="Arial"/>
          <w:b/>
          <w:bCs/>
          <w:color w:val="auto"/>
          <w:szCs w:val="20"/>
          <w:u w:val="single"/>
          <w:lang w:val="es-CL"/>
        </w:rPr>
        <w:t>PI de Trabajo</w:t>
      </w:r>
      <w:r w:rsidRPr="004C1F9C">
        <w:rPr>
          <w:rFonts w:cs="Arial"/>
          <w:color w:val="auto"/>
          <w:szCs w:val="20"/>
          <w:lang w:val="es-CL"/>
        </w:rPr>
        <w:t>. El Cliente acepta notificar a Hexagon de cualquier problema con los Productos. Además, Hexagon agradece los comentarios e ideas del Cliente para mejorar los Productos. Cualquier derecho de propiedad intelectual que se cree en el curso de la ejecución de este Contrato, incluido todo el software adicional o los procesos de trabajo creados por o en nombre de Hexagon, sigue siendo propiedad de Hexagon ("</w:t>
      </w:r>
      <w:r w:rsidRPr="004C1F9C">
        <w:rPr>
          <w:rFonts w:cs="Arial"/>
          <w:b/>
          <w:color w:val="auto"/>
          <w:szCs w:val="20"/>
          <w:lang w:val="es-CL"/>
        </w:rPr>
        <w:t>PI de Trabajo</w:t>
      </w:r>
      <w:r w:rsidRPr="004C1F9C">
        <w:rPr>
          <w:rFonts w:cs="Arial"/>
          <w:color w:val="auto"/>
          <w:szCs w:val="20"/>
          <w:lang w:val="es-CL"/>
        </w:rPr>
        <w:t>"). Si el Cliente proporciona IP de Trabajo, el Cliente asigna incondicional e irrevocablemente a Hexagon, todo su derecho, título e interés en y para todos los derechos de propiedad intelectual (incluidos, entre otros, todas las patentes, derechos de autor, secretos comerciales, trabajos de máscara, marcas comerciales, códigos fuente, algoritmos, derecho u otros derechos de propiedad intelectual) que el Cliente pueda tener ahora o en el futuro en relación con los Productos (incluidos los derechos sobre trabajos derivados o mejoras de patentes relacionadas con cualquiera de ellos), ya sea que se posea o se adquiera por aplicación de la ley, contrato, cesión o de otro modo. El Cliente comprende que dicha IP de Trabajo puede ser utilizada por o en nombre de Hexagon para cualquier propósito, pero Hexagon no está obligada a utilizar ninguna IP de trabajo.</w:t>
      </w:r>
    </w:p>
    <w:p w14:paraId="3DE41987" w14:textId="77777777" w:rsidR="004C1F9C" w:rsidRPr="004C1F9C" w:rsidRDefault="004C1F9C" w:rsidP="004C1F9C">
      <w:pPr>
        <w:jc w:val="both"/>
        <w:rPr>
          <w:rFonts w:cs="Arial"/>
          <w:color w:val="auto"/>
          <w:szCs w:val="20"/>
          <w:lang w:val="es-CL"/>
        </w:rPr>
      </w:pPr>
    </w:p>
    <w:p w14:paraId="72B42C94" w14:textId="77777777" w:rsidR="004C1F9C" w:rsidRPr="004C1F9C" w:rsidRDefault="004C1F9C" w:rsidP="004C1F9C">
      <w:pPr>
        <w:jc w:val="both"/>
        <w:rPr>
          <w:rFonts w:cs="Arial"/>
          <w:color w:val="auto"/>
          <w:szCs w:val="20"/>
          <w:lang w:val="es-CL"/>
        </w:rPr>
      </w:pPr>
      <w:r w:rsidRPr="004C1F9C">
        <w:rPr>
          <w:rFonts w:cs="Arial"/>
          <w:b/>
          <w:color w:val="auto"/>
          <w:szCs w:val="20"/>
          <w:lang w:val="es-CL"/>
        </w:rPr>
        <w:t>7</w:t>
      </w:r>
      <w:r w:rsidRPr="004C1F9C">
        <w:rPr>
          <w:rFonts w:cs="Arial"/>
          <w:color w:val="auto"/>
          <w:szCs w:val="20"/>
          <w:lang w:val="es-CL"/>
        </w:rPr>
        <w:t xml:space="preserve">. </w:t>
      </w:r>
      <w:r w:rsidRPr="004C1F9C">
        <w:rPr>
          <w:rFonts w:cs="Arial"/>
          <w:b/>
          <w:bCs/>
          <w:color w:val="auto"/>
          <w:szCs w:val="20"/>
          <w:u w:val="single"/>
          <w:lang w:val="es-CL"/>
        </w:rPr>
        <w:t>Información Confidencial</w:t>
      </w:r>
      <w:r w:rsidRPr="004C1F9C">
        <w:rPr>
          <w:rFonts w:cs="Arial"/>
          <w:b/>
          <w:bCs/>
          <w:color w:val="auto"/>
          <w:szCs w:val="20"/>
          <w:lang w:val="es-CL"/>
        </w:rPr>
        <w:t>. "IC</w:t>
      </w:r>
      <w:r w:rsidRPr="004C1F9C">
        <w:rPr>
          <w:rFonts w:cs="Arial"/>
          <w:color w:val="auto"/>
          <w:szCs w:val="20"/>
          <w:lang w:val="es-CL"/>
        </w:rPr>
        <w:t xml:space="preserve">" significa secretos comerciales y otra información confidencial de cualquiera de las partes, incluidas, entre otras, las especificaciones del producto, documentación, tecnologías, arquitecturas, sistemas, datos, fórmulas, conocimientos técnicos, procesos, diseños, códigos fuente, algoritmos, fotografías, muestras, investigación y desarrollo, listas de precios, </w:t>
      </w:r>
      <w:r w:rsidRPr="004C1F9C">
        <w:rPr>
          <w:rFonts w:cs="Arial"/>
          <w:color w:val="auto"/>
          <w:szCs w:val="20"/>
          <w:lang w:val="es-CL"/>
        </w:rPr>
        <w:lastRenderedPageBreak/>
        <w:t>información de clientes, estudios de mercado, propuestas, negociaciones, ventas, cotizaciones, información financiera y otra información que por su naturaleza se considere razonablemente confidencial. Ambas partes utilizarán un cuidado razonable para proteger a IC del uso no autorizado y la divulgación a cualquier otra parte. Cuando las partes intercambien IC, se aplicarán las disposiciones de confidencialidad establecidas en el Acuerdo de Confidencialidad adjunto a estos Términos y Condiciones Generales, ya sea que se divulguen de una Parte a otra bajo una base de Compra, Suscripción o Demostración / Prueba.</w:t>
      </w:r>
    </w:p>
    <w:p w14:paraId="051F101F" w14:textId="77777777" w:rsidR="004C1F9C" w:rsidRPr="004C1F9C" w:rsidRDefault="004C1F9C" w:rsidP="004C1F9C">
      <w:pPr>
        <w:jc w:val="both"/>
        <w:rPr>
          <w:rFonts w:cs="Arial"/>
          <w:color w:val="auto"/>
          <w:szCs w:val="20"/>
          <w:lang w:val="es-CL"/>
        </w:rPr>
      </w:pPr>
    </w:p>
    <w:p w14:paraId="13BA2D89" w14:textId="77777777" w:rsidR="004C1F9C" w:rsidRPr="004C1F9C" w:rsidRDefault="004C1F9C" w:rsidP="004C1F9C">
      <w:pPr>
        <w:ind w:left="709" w:hanging="425"/>
        <w:jc w:val="both"/>
        <w:rPr>
          <w:rFonts w:cs="Arial"/>
          <w:color w:val="auto"/>
          <w:szCs w:val="20"/>
          <w:lang w:val="es-CL"/>
        </w:rPr>
      </w:pPr>
      <w:r w:rsidRPr="004C1F9C">
        <w:rPr>
          <w:rFonts w:cs="Arial"/>
          <w:color w:val="auto"/>
          <w:szCs w:val="20"/>
          <w:lang w:val="es-CL"/>
        </w:rPr>
        <w:t xml:space="preserve">7.1. </w:t>
      </w:r>
      <w:r w:rsidRPr="004C1F9C">
        <w:rPr>
          <w:rFonts w:cs="Arial"/>
          <w:b/>
          <w:bCs/>
          <w:color w:val="auto"/>
          <w:szCs w:val="20"/>
          <w:u w:val="single"/>
          <w:lang w:val="es-CL"/>
        </w:rPr>
        <w:t>Divulgación</w:t>
      </w:r>
      <w:r w:rsidRPr="004C1F9C">
        <w:rPr>
          <w:rFonts w:cs="Arial"/>
          <w:color w:val="auto"/>
          <w:szCs w:val="20"/>
          <w:lang w:val="es-CL"/>
        </w:rPr>
        <w:t>. El Cliente no revelará ni utilizará IC de Hexagon. Además, el Cliente deberá emplear medidas razonables para garantizar que la IC se mantenga confidencial. Hexagon acuerda que el Cliente puede compartir IC con su personal, funcionarios, directores y contratistas según sea razonablemente necesario para cumplir con este Contrato. IC puede ser divulgada si así lo exige la ley aplicable o las reglas de una bolsa de valores en la que se cotizan los valores del Cliente, si el Cliente: (i) antes de divulgar IC, da aviso razonable a Hexagon, coopera plenamente con Hexagon en sus esfuerzos por prevenir divulgación, y toma todas las medidas razonables (ya sean requeridas por Hexagon o no) para mantener esa IC en confidencialidad; y (</w:t>
      </w:r>
      <w:proofErr w:type="spellStart"/>
      <w:r w:rsidRPr="004C1F9C">
        <w:rPr>
          <w:rFonts w:cs="Arial"/>
          <w:color w:val="auto"/>
          <w:szCs w:val="20"/>
          <w:lang w:val="es-CL"/>
        </w:rPr>
        <w:t>ii</w:t>
      </w:r>
      <w:proofErr w:type="spellEnd"/>
      <w:r w:rsidRPr="004C1F9C">
        <w:rPr>
          <w:rFonts w:cs="Arial"/>
          <w:color w:val="auto"/>
          <w:szCs w:val="20"/>
          <w:lang w:val="es-CL"/>
        </w:rPr>
        <w:t xml:space="preserve">) divulga la cantidad mínima de IC requerida para cumplir con cualquier ley o regla aplicable. No </w:t>
      </w:r>
      <w:proofErr w:type="gramStart"/>
      <w:r w:rsidRPr="004C1F9C">
        <w:rPr>
          <w:rFonts w:cs="Arial"/>
          <w:color w:val="auto"/>
          <w:szCs w:val="20"/>
          <w:lang w:val="es-CL"/>
        </w:rPr>
        <w:t>obstante</w:t>
      </w:r>
      <w:proofErr w:type="gramEnd"/>
      <w:r w:rsidRPr="004C1F9C">
        <w:rPr>
          <w:rFonts w:cs="Arial"/>
          <w:color w:val="auto"/>
          <w:szCs w:val="20"/>
          <w:lang w:val="es-CL"/>
        </w:rPr>
        <w:t xml:space="preserve"> lo anterior, en ningún caso el Cliente revelará Hexagon IC a ningún competidor de Hexagon.</w:t>
      </w:r>
    </w:p>
    <w:p w14:paraId="6871A40E" w14:textId="77777777" w:rsidR="004C1F9C" w:rsidRPr="004C1F9C" w:rsidRDefault="004C1F9C" w:rsidP="004C1F9C">
      <w:pPr>
        <w:ind w:left="709" w:hanging="425"/>
        <w:jc w:val="both"/>
        <w:rPr>
          <w:rFonts w:cs="Arial"/>
          <w:color w:val="auto"/>
          <w:szCs w:val="20"/>
          <w:lang w:val="es-CL"/>
        </w:rPr>
      </w:pPr>
    </w:p>
    <w:p w14:paraId="6AAF8B45" w14:textId="77777777" w:rsidR="004C1F9C" w:rsidRPr="004C1F9C" w:rsidRDefault="004C1F9C" w:rsidP="004C1F9C">
      <w:pPr>
        <w:ind w:left="709" w:hanging="425"/>
        <w:jc w:val="both"/>
        <w:rPr>
          <w:rFonts w:cs="Arial"/>
          <w:color w:val="auto"/>
          <w:szCs w:val="20"/>
          <w:lang w:val="es-CL"/>
        </w:rPr>
      </w:pPr>
      <w:r w:rsidRPr="004C1F9C">
        <w:rPr>
          <w:rFonts w:cs="Arial"/>
          <w:color w:val="auto"/>
          <w:szCs w:val="20"/>
          <w:lang w:val="es-CL"/>
        </w:rPr>
        <w:t xml:space="preserve">7.2 </w:t>
      </w:r>
      <w:r w:rsidRPr="004C1F9C">
        <w:rPr>
          <w:rFonts w:cs="Arial"/>
          <w:b/>
          <w:bCs/>
          <w:color w:val="auto"/>
          <w:szCs w:val="20"/>
          <w:u w:val="single"/>
          <w:lang w:val="es-CL"/>
        </w:rPr>
        <w:t>Excepciones a la Confidencialidad</w:t>
      </w:r>
      <w:r w:rsidRPr="004C1F9C">
        <w:rPr>
          <w:rFonts w:cs="Arial"/>
          <w:color w:val="auto"/>
          <w:szCs w:val="20"/>
          <w:lang w:val="es-CL"/>
        </w:rPr>
        <w:t>. IC no incluye información (i) en el dominio público que no sea como resultado de un incumplimiento de este Contrato u otra obligación de secreto; (</w:t>
      </w:r>
      <w:proofErr w:type="spellStart"/>
      <w:r w:rsidRPr="004C1F9C">
        <w:rPr>
          <w:rFonts w:cs="Arial"/>
          <w:color w:val="auto"/>
          <w:szCs w:val="20"/>
          <w:lang w:val="es-CL"/>
        </w:rPr>
        <w:t>ii</w:t>
      </w:r>
      <w:proofErr w:type="spellEnd"/>
      <w:r w:rsidRPr="004C1F9C">
        <w:rPr>
          <w:rFonts w:cs="Arial"/>
          <w:color w:val="auto"/>
          <w:szCs w:val="20"/>
          <w:lang w:val="es-CL"/>
        </w:rPr>
        <w:t>) desarrollado de forma independiente por el Cliente sin acceso o uso del IC de Hexagon; o (</w:t>
      </w:r>
      <w:proofErr w:type="spellStart"/>
      <w:r w:rsidRPr="004C1F9C">
        <w:rPr>
          <w:rFonts w:cs="Arial"/>
          <w:color w:val="auto"/>
          <w:szCs w:val="20"/>
          <w:lang w:val="es-CL"/>
        </w:rPr>
        <w:t>iii</w:t>
      </w:r>
      <w:proofErr w:type="spellEnd"/>
      <w:r w:rsidRPr="004C1F9C">
        <w:rPr>
          <w:rFonts w:cs="Arial"/>
          <w:color w:val="auto"/>
          <w:szCs w:val="20"/>
          <w:lang w:val="es-CL"/>
        </w:rPr>
        <w:t>) ya conocido por el Cliente independientemente de su interacción con Hexagon y libre de cualquier obligación de confidencialidad.</w:t>
      </w:r>
    </w:p>
    <w:p w14:paraId="6B7EBC44" w14:textId="77777777" w:rsidR="004C1F9C" w:rsidRPr="004C1F9C" w:rsidRDefault="004C1F9C" w:rsidP="004C1F9C">
      <w:pPr>
        <w:ind w:left="709" w:hanging="425"/>
        <w:jc w:val="both"/>
        <w:rPr>
          <w:rFonts w:cs="Arial"/>
          <w:color w:val="auto"/>
          <w:szCs w:val="20"/>
          <w:lang w:val="es-CL"/>
        </w:rPr>
      </w:pPr>
    </w:p>
    <w:p w14:paraId="7809739C" w14:textId="77777777" w:rsidR="004C1F9C" w:rsidRPr="004C1F9C" w:rsidRDefault="004C1F9C" w:rsidP="004C1F9C">
      <w:pPr>
        <w:ind w:left="709" w:hanging="425"/>
        <w:jc w:val="both"/>
        <w:rPr>
          <w:rFonts w:cs="Arial"/>
          <w:color w:val="auto"/>
          <w:szCs w:val="20"/>
          <w:lang w:val="es-CL"/>
        </w:rPr>
      </w:pPr>
      <w:r w:rsidRPr="004C1F9C">
        <w:rPr>
          <w:rFonts w:cs="Arial"/>
          <w:color w:val="auto"/>
          <w:szCs w:val="20"/>
          <w:lang w:val="es-CL"/>
        </w:rPr>
        <w:t xml:space="preserve">7.3 </w:t>
      </w:r>
      <w:r w:rsidRPr="004C1F9C">
        <w:rPr>
          <w:rFonts w:cs="Arial"/>
          <w:b/>
          <w:bCs/>
          <w:color w:val="auto"/>
          <w:szCs w:val="20"/>
          <w:u w:val="single"/>
          <w:lang w:val="es-CL"/>
        </w:rPr>
        <w:t>Destrucción y / o devolución de IC</w:t>
      </w:r>
      <w:r w:rsidRPr="004C1F9C">
        <w:rPr>
          <w:rFonts w:cs="Arial"/>
          <w:color w:val="auto"/>
          <w:szCs w:val="20"/>
          <w:lang w:val="es-CL"/>
        </w:rPr>
        <w:t xml:space="preserve">. El Cliente destruirá o devolverá IC en su poder (que no sea IC necesaria para usar los Productos de acuerdo con el Contrato durante el tiempo que el Contrato otorgue el derecho a usar los Productos) al rescindir el Contrato o mediante solicitud por escrito de Hexagon. No </w:t>
      </w:r>
      <w:proofErr w:type="gramStart"/>
      <w:r w:rsidRPr="004C1F9C">
        <w:rPr>
          <w:rFonts w:cs="Arial"/>
          <w:color w:val="auto"/>
          <w:szCs w:val="20"/>
          <w:lang w:val="es-CL"/>
        </w:rPr>
        <w:t>obstante</w:t>
      </w:r>
      <w:proofErr w:type="gramEnd"/>
      <w:r w:rsidRPr="004C1F9C">
        <w:rPr>
          <w:rFonts w:cs="Arial"/>
          <w:color w:val="auto"/>
          <w:szCs w:val="20"/>
          <w:lang w:val="es-CL"/>
        </w:rPr>
        <w:t xml:space="preserve"> lo anterior, dentro de los diez (10) días hábiles posteriores a la terminación de este Contrato o lo Pedido correspondiente, todos los documentos o registros, incluidos todos los CI, deben devolverse a la parte a la que pertenece o destruirse, si así lo solicita dicha parte.</w:t>
      </w:r>
    </w:p>
    <w:p w14:paraId="1DA53211" w14:textId="77777777" w:rsidR="004C1F9C" w:rsidRPr="004C1F9C" w:rsidRDefault="004C1F9C" w:rsidP="004C1F9C">
      <w:pPr>
        <w:jc w:val="both"/>
        <w:rPr>
          <w:color w:val="auto"/>
          <w:lang w:val="es-CL"/>
        </w:rPr>
      </w:pPr>
    </w:p>
    <w:p w14:paraId="657E7C88" w14:textId="77777777" w:rsidR="004C1F9C" w:rsidRPr="004C1F9C" w:rsidRDefault="004C1F9C" w:rsidP="004C1F9C">
      <w:pPr>
        <w:jc w:val="both"/>
        <w:rPr>
          <w:rFonts w:cs="Arial"/>
          <w:color w:val="auto"/>
          <w:szCs w:val="20"/>
          <w:lang w:val="es-CL"/>
        </w:rPr>
      </w:pPr>
      <w:r w:rsidRPr="004C1F9C">
        <w:rPr>
          <w:rFonts w:cs="Arial"/>
          <w:b/>
          <w:color w:val="auto"/>
          <w:szCs w:val="20"/>
          <w:lang w:val="es-CL"/>
        </w:rPr>
        <w:t>8</w:t>
      </w:r>
      <w:r w:rsidRPr="004C1F9C">
        <w:rPr>
          <w:rFonts w:cs="Arial"/>
          <w:color w:val="auto"/>
          <w:szCs w:val="20"/>
          <w:lang w:val="es-CL"/>
        </w:rPr>
        <w:t xml:space="preserve">. </w:t>
      </w:r>
      <w:r w:rsidRPr="004C1F9C">
        <w:rPr>
          <w:rFonts w:cs="Arial"/>
          <w:b/>
          <w:bCs/>
          <w:color w:val="auto"/>
          <w:szCs w:val="20"/>
          <w:u w:val="single"/>
          <w:lang w:val="es-CL"/>
        </w:rPr>
        <w:t>Declaraciones de las Partes</w:t>
      </w:r>
      <w:r w:rsidRPr="004C1F9C">
        <w:rPr>
          <w:rFonts w:cs="Arial"/>
          <w:color w:val="auto"/>
          <w:szCs w:val="20"/>
          <w:lang w:val="es-CL"/>
        </w:rPr>
        <w:t>.</w:t>
      </w:r>
    </w:p>
    <w:p w14:paraId="407C5CC0" w14:textId="77777777" w:rsidR="004C1F9C" w:rsidRPr="004C1F9C" w:rsidRDefault="004C1F9C" w:rsidP="004C1F9C">
      <w:pPr>
        <w:jc w:val="both"/>
        <w:rPr>
          <w:rFonts w:cs="Arial"/>
          <w:color w:val="auto"/>
          <w:szCs w:val="20"/>
          <w:lang w:val="es-CL"/>
        </w:rPr>
      </w:pPr>
    </w:p>
    <w:p w14:paraId="7DFF0870"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8.1. </w:t>
      </w:r>
      <w:r w:rsidRPr="004C1F9C">
        <w:rPr>
          <w:rFonts w:cs="Arial"/>
          <w:b/>
          <w:bCs/>
          <w:color w:val="auto"/>
          <w:szCs w:val="20"/>
          <w:u w:val="single"/>
          <w:lang w:val="es-CL"/>
        </w:rPr>
        <w:t>Declaraciones Generales de Hexagon</w:t>
      </w:r>
      <w:r w:rsidRPr="004C1F9C">
        <w:rPr>
          <w:rFonts w:cs="Arial"/>
          <w:color w:val="auto"/>
          <w:szCs w:val="20"/>
          <w:lang w:val="es-CL"/>
        </w:rPr>
        <w:t>. Hexagon declara y garantiza que:</w:t>
      </w:r>
    </w:p>
    <w:p w14:paraId="3BF3B6F6" w14:textId="77777777" w:rsidR="004C1F9C" w:rsidRPr="004C1F9C" w:rsidRDefault="004C1F9C" w:rsidP="004C1F9C">
      <w:pPr>
        <w:ind w:left="720" w:hanging="436"/>
        <w:jc w:val="both"/>
        <w:rPr>
          <w:rFonts w:cs="Arial"/>
          <w:color w:val="auto"/>
          <w:szCs w:val="20"/>
          <w:lang w:val="es-CL"/>
        </w:rPr>
      </w:pPr>
    </w:p>
    <w:p w14:paraId="0FBEC207"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 xml:space="preserve">(A) </w:t>
      </w:r>
      <w:r w:rsidRPr="004C1F9C">
        <w:rPr>
          <w:rFonts w:cs="Arial"/>
          <w:color w:val="auto"/>
          <w:szCs w:val="20"/>
          <w:lang w:val="es-CL"/>
        </w:rPr>
        <w:tab/>
        <w:t>Tiene el derecho legal de celebrar este Contrato y cumplirá con todas las leyes, reglas, regulaciones y otros requisitos aplicables de los Estados Unidos y de cualquier organismo gubernamental estatal, extranjero y local aplicable con respecto a la venta o suscripción de los Productos;</w:t>
      </w:r>
    </w:p>
    <w:p w14:paraId="24264509" w14:textId="77777777" w:rsidR="004C1F9C" w:rsidRPr="004C1F9C" w:rsidRDefault="004C1F9C" w:rsidP="004C1F9C">
      <w:pPr>
        <w:ind w:left="1134" w:hanging="425"/>
        <w:jc w:val="both"/>
        <w:rPr>
          <w:rFonts w:cs="Arial"/>
          <w:color w:val="auto"/>
          <w:szCs w:val="20"/>
          <w:lang w:val="es-CL"/>
        </w:rPr>
      </w:pPr>
    </w:p>
    <w:p w14:paraId="6B33307A"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 xml:space="preserve">(B) </w:t>
      </w:r>
      <w:r w:rsidRPr="004C1F9C">
        <w:rPr>
          <w:rFonts w:cs="Arial"/>
          <w:color w:val="auto"/>
          <w:szCs w:val="20"/>
          <w:lang w:val="es-CL"/>
        </w:rPr>
        <w:tab/>
        <w:t xml:space="preserve">Cumplirá con todas las leyes, estatutos, reglamentos y códigos aplicables relacionados con la lucha contra el soborno y la corrupción, incluidos, entre otros, la Ley de Soborno del Reino Unido de 2010, la Ley de Prácticas Corruptas en el Extranjero de </w:t>
      </w:r>
      <w:proofErr w:type="gramStart"/>
      <w:r w:rsidRPr="004C1F9C">
        <w:rPr>
          <w:rFonts w:cs="Arial"/>
          <w:color w:val="auto"/>
          <w:szCs w:val="20"/>
          <w:lang w:val="es-CL"/>
        </w:rPr>
        <w:t>EE.UU.</w:t>
      </w:r>
      <w:proofErr w:type="gramEnd"/>
      <w:r w:rsidRPr="004C1F9C">
        <w:rPr>
          <w:rFonts w:cs="Arial"/>
          <w:color w:val="auto"/>
          <w:szCs w:val="20"/>
          <w:lang w:val="es-CL"/>
        </w:rPr>
        <w:t>, la Ley de Soborno de Funcionarios Públicos Extranjeros de Australia de 1999 y cualquier otra ley pertinente. Hexagon garantiza que tiene y mantendrá en todo momento políticas y procedimientos adecuados para garantizar dicho cumplimiento.</w:t>
      </w:r>
    </w:p>
    <w:p w14:paraId="25D799BB" w14:textId="77777777" w:rsidR="004C1F9C" w:rsidRPr="004C1F9C" w:rsidRDefault="004C1F9C" w:rsidP="004C1F9C">
      <w:pPr>
        <w:ind w:left="720"/>
        <w:jc w:val="both"/>
        <w:rPr>
          <w:rFonts w:cs="Arial"/>
          <w:color w:val="auto"/>
          <w:szCs w:val="20"/>
          <w:lang w:val="es-CL"/>
        </w:rPr>
      </w:pPr>
    </w:p>
    <w:p w14:paraId="5B315381"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8.2. </w:t>
      </w:r>
      <w:r w:rsidRPr="004C1F9C">
        <w:rPr>
          <w:rFonts w:cs="Arial"/>
          <w:b/>
          <w:bCs/>
          <w:color w:val="auto"/>
          <w:szCs w:val="20"/>
          <w:u w:val="single"/>
          <w:lang w:val="es-CL"/>
        </w:rPr>
        <w:t>Declaraciones Generales del Cliente</w:t>
      </w:r>
      <w:r w:rsidRPr="004C1F9C">
        <w:rPr>
          <w:rFonts w:cs="Arial"/>
          <w:color w:val="auto"/>
          <w:szCs w:val="20"/>
          <w:lang w:val="es-CL"/>
        </w:rPr>
        <w:t>. El Cliente declara y garantiza que:</w:t>
      </w:r>
    </w:p>
    <w:p w14:paraId="0E5D5B07" w14:textId="77777777" w:rsidR="004C1F9C" w:rsidRPr="004C1F9C" w:rsidRDefault="004C1F9C" w:rsidP="004C1F9C">
      <w:pPr>
        <w:ind w:left="720" w:hanging="436"/>
        <w:jc w:val="both"/>
        <w:rPr>
          <w:rFonts w:cs="Arial"/>
          <w:color w:val="auto"/>
          <w:szCs w:val="20"/>
          <w:lang w:val="es-CL"/>
        </w:rPr>
      </w:pPr>
    </w:p>
    <w:p w14:paraId="10361971" w14:textId="0030DF23"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 xml:space="preserve">(A) </w:t>
      </w:r>
      <w:r w:rsidRPr="004C1F9C">
        <w:rPr>
          <w:rFonts w:cs="Arial"/>
          <w:color w:val="auto"/>
          <w:szCs w:val="20"/>
          <w:lang w:val="es-CL"/>
        </w:rPr>
        <w:tab/>
        <w:t>Tiene el derecho legal de celebrar este Contrato y cumplirá con todas las leyes, reglas, regulaciones y otros requisitos aplicables de cualquier organismo gubernamental estatal, extranjero y local aplicable con respecto a la compra, licencia, recepción, uso y eliminación de los Productos y mantendrá en todo momento políticas y procedimientos adecuados para garantizar dicho cumplimiento;</w:t>
      </w:r>
    </w:p>
    <w:p w14:paraId="067AC684"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lastRenderedPageBreak/>
        <w:t xml:space="preserve">(B) </w:t>
      </w:r>
      <w:r w:rsidRPr="004C1F9C">
        <w:rPr>
          <w:rFonts w:cs="Arial"/>
          <w:color w:val="auto"/>
          <w:szCs w:val="20"/>
          <w:lang w:val="es-CL"/>
        </w:rPr>
        <w:tab/>
        <w:t>No cargará, traerá, exportará, transferirá o de ninguna manera transportará productos Hexagon a ningún país o territorio donde dicha presencia esté prohibida por las políticas internacionales o las leyes de exportación establecidas por todos los países cuyas leyes sean aplicables;</w:t>
      </w:r>
    </w:p>
    <w:p w14:paraId="2F1E6DDA" w14:textId="77777777" w:rsidR="004C1F9C" w:rsidRPr="004C1F9C" w:rsidRDefault="004C1F9C" w:rsidP="004C1F9C">
      <w:pPr>
        <w:ind w:left="1134" w:hanging="425"/>
        <w:jc w:val="both"/>
        <w:rPr>
          <w:rFonts w:cs="Arial"/>
          <w:color w:val="auto"/>
          <w:szCs w:val="20"/>
          <w:lang w:val="es-CL"/>
        </w:rPr>
      </w:pPr>
    </w:p>
    <w:p w14:paraId="3D690B01"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 xml:space="preserve">(C) </w:t>
      </w:r>
      <w:r w:rsidRPr="004C1F9C">
        <w:rPr>
          <w:rFonts w:cs="Arial"/>
          <w:color w:val="auto"/>
          <w:szCs w:val="20"/>
          <w:lang w:val="es-CL"/>
        </w:rPr>
        <w:tab/>
        <w:t xml:space="preserve">Cumplirá con todas las leyes, estatutos, reglamentos y códigos aplicables relacionados con la lucha contra el soborno y la corrupción, incluidos, entre otros, la Ley de Soborno del Reino Unido de 2010, la Ley de Prácticas Corruptas en el Extranjero de </w:t>
      </w:r>
      <w:proofErr w:type="gramStart"/>
      <w:r w:rsidRPr="004C1F9C">
        <w:rPr>
          <w:rFonts w:cs="Arial"/>
          <w:color w:val="auto"/>
          <w:szCs w:val="20"/>
          <w:lang w:val="es-CL"/>
        </w:rPr>
        <w:t>EE.UU.</w:t>
      </w:r>
      <w:proofErr w:type="gramEnd"/>
      <w:r w:rsidRPr="004C1F9C">
        <w:rPr>
          <w:rFonts w:cs="Arial"/>
          <w:color w:val="auto"/>
          <w:szCs w:val="20"/>
          <w:lang w:val="es-CL"/>
        </w:rPr>
        <w:t>, la Ley de Soborno de Funcionarios Públicos Extranjeros da Australia de 1999 y cualquier otra ley pertinente. El Cliente garantiza que tiene y mantendrá en todo momento políticas y procedimientos adecuados para garantizar dicho cumplimiento.</w:t>
      </w:r>
    </w:p>
    <w:p w14:paraId="01D7F1CB" w14:textId="77777777" w:rsidR="004C1F9C" w:rsidRPr="004C1F9C" w:rsidRDefault="004C1F9C" w:rsidP="004C1F9C">
      <w:pPr>
        <w:ind w:left="1134" w:hanging="425"/>
        <w:jc w:val="both"/>
        <w:rPr>
          <w:rFonts w:cs="Arial"/>
          <w:color w:val="auto"/>
          <w:szCs w:val="20"/>
          <w:lang w:val="es-CL"/>
        </w:rPr>
      </w:pPr>
    </w:p>
    <w:p w14:paraId="5463B6B6"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(D) No sublicenciará, cederá, revenderá, compartirá, pignorará, alquilará, regalará ni transferirá ni otorgará ningún derecho sobre los Productos o la Documentación relacionada o los componentes de ninguna forma a ninguna persona que no sea parte de este Contrato (excepto si se permite cesionarios), o utilizar los Productos en una oficina de servicios o un acuerdo de tiempo compartido sin el consentimiento previo por escrito de Hexagon;</w:t>
      </w:r>
    </w:p>
    <w:p w14:paraId="10654647" w14:textId="77777777" w:rsidR="004C1F9C" w:rsidRPr="004C1F9C" w:rsidRDefault="004C1F9C" w:rsidP="004C1F9C">
      <w:pPr>
        <w:ind w:left="1134" w:hanging="425"/>
        <w:jc w:val="both"/>
        <w:rPr>
          <w:rFonts w:cs="Arial"/>
          <w:color w:val="auto"/>
          <w:szCs w:val="20"/>
          <w:lang w:val="es-CL"/>
        </w:rPr>
      </w:pPr>
    </w:p>
    <w:p w14:paraId="1845DA54"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 xml:space="preserve">(E) </w:t>
      </w:r>
      <w:r w:rsidRPr="004C1F9C">
        <w:rPr>
          <w:rFonts w:cs="Arial"/>
          <w:color w:val="auto"/>
          <w:szCs w:val="20"/>
          <w:lang w:val="es-CL"/>
        </w:rPr>
        <w:tab/>
        <w:t>Es el único responsable de la precisión, fiabilidad y suficiencia de todos los datos y especificaciones proporcionados a Hexagon y de cualquier toma de decisiones por parte del Cliente como resultado de dichos datos o especificaciones o cualquier Producto.</w:t>
      </w:r>
    </w:p>
    <w:p w14:paraId="4AD57566" w14:textId="77777777" w:rsidR="004C1F9C" w:rsidRPr="004C1F9C" w:rsidRDefault="004C1F9C" w:rsidP="004C1F9C">
      <w:pPr>
        <w:jc w:val="both"/>
        <w:rPr>
          <w:rFonts w:cs="Arial"/>
          <w:smallCaps/>
          <w:color w:val="auto"/>
          <w:szCs w:val="20"/>
          <w:lang w:val="es-CL"/>
        </w:rPr>
      </w:pPr>
    </w:p>
    <w:p w14:paraId="7A059C53" w14:textId="77777777" w:rsidR="004C1F9C" w:rsidRPr="004C1F9C" w:rsidRDefault="004C1F9C" w:rsidP="004C1F9C">
      <w:pPr>
        <w:jc w:val="both"/>
        <w:rPr>
          <w:rFonts w:cs="Arial"/>
          <w:smallCaps/>
          <w:color w:val="auto"/>
          <w:szCs w:val="20"/>
          <w:lang w:val="es-CL"/>
        </w:rPr>
      </w:pPr>
      <w:r w:rsidRPr="004C1F9C">
        <w:rPr>
          <w:rFonts w:cs="Arial"/>
          <w:b/>
          <w:smallCaps/>
          <w:color w:val="auto"/>
          <w:szCs w:val="20"/>
          <w:lang w:val="es-CL"/>
        </w:rPr>
        <w:t>9</w:t>
      </w:r>
      <w:r w:rsidRPr="004C1F9C">
        <w:rPr>
          <w:rFonts w:cs="Arial"/>
          <w:smallCaps/>
          <w:color w:val="auto"/>
          <w:szCs w:val="20"/>
          <w:lang w:val="es-CL"/>
        </w:rPr>
        <w:t xml:space="preserve">. </w:t>
      </w:r>
      <w:r w:rsidRPr="004C1F9C">
        <w:rPr>
          <w:rFonts w:cs="Arial"/>
          <w:b/>
          <w:bCs/>
          <w:smallCaps/>
          <w:color w:val="auto"/>
          <w:szCs w:val="20"/>
          <w:u w:val="single"/>
          <w:lang w:val="es-CL"/>
        </w:rPr>
        <w:t>Limitación de Responsabilidad</w:t>
      </w:r>
      <w:r w:rsidRPr="004C1F9C">
        <w:rPr>
          <w:rFonts w:cs="Arial"/>
          <w:smallCaps/>
          <w:color w:val="auto"/>
          <w:szCs w:val="20"/>
          <w:lang w:val="es-CL"/>
        </w:rPr>
        <w:t>.</w:t>
      </w:r>
    </w:p>
    <w:p w14:paraId="444B06ED" w14:textId="77777777" w:rsidR="004C1F9C" w:rsidRPr="004C1F9C" w:rsidRDefault="004C1F9C" w:rsidP="004C1F9C">
      <w:pPr>
        <w:ind w:left="720"/>
        <w:jc w:val="both"/>
        <w:rPr>
          <w:rFonts w:cs="Arial"/>
          <w:smallCaps/>
          <w:color w:val="auto"/>
          <w:szCs w:val="20"/>
          <w:lang w:val="es-CL"/>
        </w:rPr>
      </w:pPr>
    </w:p>
    <w:p w14:paraId="0D5585CC" w14:textId="77777777" w:rsidR="004C1F9C" w:rsidRPr="004C1F9C" w:rsidRDefault="004C1F9C" w:rsidP="004C1F9C">
      <w:pPr>
        <w:ind w:left="720" w:hanging="436"/>
        <w:jc w:val="both"/>
        <w:rPr>
          <w:rFonts w:cs="Arial"/>
          <w:smallCaps/>
          <w:color w:val="auto"/>
          <w:szCs w:val="20"/>
          <w:lang w:val="es-CL"/>
        </w:rPr>
      </w:pPr>
      <w:r w:rsidRPr="004C1F9C">
        <w:rPr>
          <w:rFonts w:cs="Arial"/>
          <w:smallCaps/>
          <w:color w:val="auto"/>
          <w:szCs w:val="20"/>
          <w:lang w:val="es-CL"/>
        </w:rPr>
        <w:t xml:space="preserve">9.1. </w:t>
      </w:r>
      <w:r w:rsidRPr="004C1F9C">
        <w:rPr>
          <w:rFonts w:cs="Arial"/>
          <w:b/>
          <w:smallCaps/>
          <w:color w:val="auto"/>
          <w:szCs w:val="20"/>
          <w:lang w:val="es-CL"/>
        </w:rPr>
        <w:t>P</w:t>
      </w:r>
      <w:r w:rsidRPr="004C1F9C">
        <w:rPr>
          <w:rFonts w:cs="Arial"/>
          <w:b/>
          <w:bCs/>
          <w:smallCaps/>
          <w:color w:val="auto"/>
          <w:szCs w:val="20"/>
          <w:lang w:val="es-CL"/>
        </w:rPr>
        <w:t>érdidas y Daños Indirectos</w:t>
      </w:r>
      <w:r w:rsidRPr="004C1F9C">
        <w:rPr>
          <w:rFonts w:cs="Arial"/>
          <w:smallCaps/>
          <w:color w:val="auto"/>
          <w:szCs w:val="20"/>
          <w:lang w:val="es-CL"/>
        </w:rPr>
        <w:t>. En ningún caso ninguna de las partes o sus empleados, agentes, directores o representantes serán responsables ante la otra parte o cualquier tercero, ya sea basado en contrato o agravio (incluyendo negligencia) o de otro modo, por daño incidental, consecuente, indirecto, especial o daños punitivos de cualquier tipo, o costos de adquisición de productos sustitutos, o por la pérdida de ingresos, lucros cesantes, beneficios (directos e indirectos), pérdida de negocios, datos u otras pérdidas financieras que surjan de este contrato o están relacionadas con él aunque se había advertido dicha parte de la posibilidad de tales daños.</w:t>
      </w:r>
    </w:p>
    <w:p w14:paraId="24FA9277" w14:textId="77777777" w:rsidR="004C1F9C" w:rsidRPr="004C1F9C" w:rsidRDefault="004C1F9C" w:rsidP="004C1F9C">
      <w:pPr>
        <w:ind w:left="720" w:hanging="436"/>
        <w:jc w:val="both"/>
        <w:rPr>
          <w:rFonts w:cs="Arial"/>
          <w:smallCaps/>
          <w:color w:val="auto"/>
          <w:szCs w:val="20"/>
          <w:lang w:val="es-CL"/>
        </w:rPr>
      </w:pPr>
    </w:p>
    <w:p w14:paraId="3BD1B147" w14:textId="77777777" w:rsidR="004C1F9C" w:rsidRPr="004C1F9C" w:rsidRDefault="004C1F9C" w:rsidP="004C1F9C">
      <w:pPr>
        <w:ind w:left="720" w:hanging="436"/>
        <w:jc w:val="both"/>
        <w:rPr>
          <w:rFonts w:cs="Arial"/>
          <w:smallCaps/>
          <w:color w:val="auto"/>
          <w:szCs w:val="20"/>
          <w:lang w:val="es-CL"/>
        </w:rPr>
      </w:pPr>
      <w:r w:rsidRPr="004C1F9C">
        <w:rPr>
          <w:rFonts w:cs="Arial"/>
          <w:smallCaps/>
          <w:color w:val="auto"/>
          <w:szCs w:val="20"/>
          <w:lang w:val="es-CL"/>
        </w:rPr>
        <w:t xml:space="preserve">9.2. </w:t>
      </w:r>
      <w:r w:rsidRPr="004C1F9C">
        <w:rPr>
          <w:rFonts w:cs="Arial"/>
          <w:b/>
          <w:bCs/>
          <w:smallCaps/>
          <w:color w:val="auto"/>
          <w:szCs w:val="20"/>
          <w:lang w:val="es-CL"/>
        </w:rPr>
        <w:t>Pérdidas y Daños Directos</w:t>
      </w:r>
      <w:r w:rsidRPr="004C1F9C">
        <w:rPr>
          <w:rFonts w:cs="Arial"/>
          <w:smallCaps/>
          <w:color w:val="auto"/>
          <w:szCs w:val="20"/>
          <w:lang w:val="es-CL"/>
        </w:rPr>
        <w:t xml:space="preserve">. Sin limitar lo anterior, </w:t>
      </w:r>
      <w:proofErr w:type="gramStart"/>
      <w:r w:rsidRPr="004C1F9C">
        <w:rPr>
          <w:rFonts w:cs="Arial"/>
          <w:smallCaps/>
          <w:color w:val="auto"/>
          <w:szCs w:val="20"/>
          <w:lang w:val="es-CL"/>
        </w:rPr>
        <w:t>bajo ninguna circunstancia</w:t>
      </w:r>
      <w:proofErr w:type="gramEnd"/>
      <w:r w:rsidRPr="004C1F9C">
        <w:rPr>
          <w:rFonts w:cs="Arial"/>
          <w:smallCaps/>
          <w:color w:val="auto"/>
          <w:szCs w:val="20"/>
          <w:lang w:val="es-CL"/>
        </w:rPr>
        <w:t xml:space="preserve"> la responsabilidad total de Hexagon ante el Cliente excederá las cantidades totales facturadas por Hexagon al Cliente por los productos respectivos y pagada por el Cliente a Hexagon durante los doce meses anteriores al evento de que resultó la pérdida correspondiente. En el caso de que ningún Producto sea implicado o el Producto implicado no se pueda identificar, la responsabilidad total de Hexagon no excederá las cantidades totales facturadas por Hexagon al Cliente y pagadas por el Cliente a Hexagon en los doce meses anteriores al evento de que resultó la pérdida correspondiente.</w:t>
      </w:r>
    </w:p>
    <w:p w14:paraId="768AC6A8" w14:textId="77777777" w:rsidR="004C1F9C" w:rsidRPr="004C1F9C" w:rsidRDefault="004C1F9C" w:rsidP="004C1F9C">
      <w:pPr>
        <w:ind w:left="720" w:hanging="436"/>
        <w:jc w:val="both"/>
        <w:rPr>
          <w:rFonts w:cs="Arial"/>
          <w:color w:val="auto"/>
          <w:szCs w:val="20"/>
          <w:lang w:val="es-CL"/>
        </w:rPr>
      </w:pPr>
    </w:p>
    <w:p w14:paraId="44F42161" w14:textId="77777777" w:rsidR="004C1F9C" w:rsidRPr="004C1F9C" w:rsidRDefault="004C1F9C" w:rsidP="004C1F9C">
      <w:pPr>
        <w:ind w:left="720" w:hanging="436"/>
        <w:jc w:val="both"/>
        <w:rPr>
          <w:rFonts w:cs="Arial"/>
          <w:smallCaps/>
          <w:color w:val="auto"/>
          <w:szCs w:val="20"/>
          <w:lang w:val="es-CL"/>
        </w:rPr>
      </w:pPr>
      <w:r w:rsidRPr="004C1F9C">
        <w:rPr>
          <w:rFonts w:cs="Arial"/>
          <w:smallCaps/>
          <w:color w:val="auto"/>
          <w:szCs w:val="20"/>
          <w:lang w:val="es-CL"/>
        </w:rPr>
        <w:t xml:space="preserve">9.3. </w:t>
      </w:r>
      <w:r w:rsidRPr="004C1F9C">
        <w:rPr>
          <w:rFonts w:cs="Arial"/>
          <w:smallCaps/>
          <w:color w:val="auto"/>
          <w:szCs w:val="20"/>
          <w:lang w:val="es-CL"/>
        </w:rPr>
        <w:tab/>
        <w:t xml:space="preserve">No </w:t>
      </w:r>
      <w:proofErr w:type="gramStart"/>
      <w:r w:rsidRPr="004C1F9C">
        <w:rPr>
          <w:rFonts w:cs="Arial"/>
          <w:smallCaps/>
          <w:color w:val="auto"/>
          <w:szCs w:val="20"/>
          <w:lang w:val="es-CL"/>
        </w:rPr>
        <w:t>obstante</w:t>
      </w:r>
      <w:proofErr w:type="gramEnd"/>
      <w:r w:rsidRPr="004C1F9C">
        <w:rPr>
          <w:rFonts w:cs="Arial"/>
          <w:smallCaps/>
          <w:color w:val="auto"/>
          <w:szCs w:val="20"/>
          <w:lang w:val="es-CL"/>
        </w:rPr>
        <w:t xml:space="preserve"> lo anterior, la responsabilidad de las partes no está limitada o excluida en la medida en que dicha responsabilidad surja o sea causada por negligencia grave, acto u omisión intencional, mala-fe o conducta fraudulenta; incumplimiento de la ley; o en el caso del Cliente, de pérdidas o gastos incurridos por Hexagon debidos a cancelación o retraso del Cliente, violación de los derechos de </w:t>
      </w:r>
      <w:proofErr w:type="spellStart"/>
      <w:r w:rsidRPr="004C1F9C">
        <w:rPr>
          <w:rFonts w:cs="Arial"/>
          <w:smallCaps/>
          <w:color w:val="auto"/>
          <w:szCs w:val="20"/>
          <w:lang w:val="es-CL"/>
        </w:rPr>
        <w:t>ip</w:t>
      </w:r>
      <w:proofErr w:type="spellEnd"/>
      <w:r w:rsidRPr="004C1F9C">
        <w:rPr>
          <w:rFonts w:cs="Arial"/>
          <w:smallCaps/>
          <w:color w:val="auto"/>
          <w:szCs w:val="20"/>
          <w:lang w:val="es-CL"/>
        </w:rPr>
        <w:t xml:space="preserve"> de Hexagon, incumplimiento de la garantía o de pago de las tarifas vencidas.</w:t>
      </w:r>
    </w:p>
    <w:p w14:paraId="64B153F0" w14:textId="77777777" w:rsidR="004C1F9C" w:rsidRPr="004C1F9C" w:rsidRDefault="004C1F9C" w:rsidP="004C1F9C">
      <w:pPr>
        <w:ind w:left="720" w:hanging="436"/>
        <w:jc w:val="both"/>
        <w:rPr>
          <w:rFonts w:cs="Arial"/>
          <w:smallCaps/>
          <w:color w:val="auto"/>
          <w:szCs w:val="20"/>
          <w:lang w:val="es-CL"/>
        </w:rPr>
      </w:pPr>
    </w:p>
    <w:p w14:paraId="01EE05E4" w14:textId="77777777" w:rsidR="004C1F9C" w:rsidRPr="004C1F9C" w:rsidRDefault="004C1F9C" w:rsidP="004C1F9C">
      <w:pPr>
        <w:ind w:left="720" w:hanging="436"/>
        <w:jc w:val="both"/>
        <w:rPr>
          <w:rFonts w:cs="Arial"/>
          <w:smallCaps/>
          <w:color w:val="auto"/>
          <w:szCs w:val="20"/>
          <w:lang w:val="es-CL"/>
        </w:rPr>
      </w:pPr>
      <w:r w:rsidRPr="004C1F9C">
        <w:rPr>
          <w:rFonts w:cs="Arial"/>
          <w:smallCaps/>
          <w:color w:val="auto"/>
          <w:szCs w:val="20"/>
          <w:lang w:val="es-CL"/>
        </w:rPr>
        <w:t xml:space="preserve">9.4. </w:t>
      </w:r>
      <w:r w:rsidRPr="004C1F9C">
        <w:rPr>
          <w:rFonts w:cs="Arial"/>
          <w:smallCaps/>
          <w:color w:val="auto"/>
          <w:szCs w:val="20"/>
          <w:lang w:val="es-CL"/>
        </w:rPr>
        <w:tab/>
        <w:t xml:space="preserve">Las limitaciones de responsabilidad mencionadas anteriormente se aplicarán incluso si cualquier recurso aquí proporcionado no cumple su propósito esencial. Si la ley aplicable no permite la exclusión o limitación de responsabilidad completa como se establece aquí, entonces la responsabilidad y las respectivas indemnizaciones se someterán a los </w:t>
      </w:r>
      <w:proofErr w:type="spellStart"/>
      <w:r w:rsidRPr="004C1F9C">
        <w:rPr>
          <w:rFonts w:cs="Arial"/>
          <w:smallCaps/>
          <w:color w:val="auto"/>
          <w:szCs w:val="20"/>
          <w:lang w:val="es-CL"/>
        </w:rPr>
        <w:t>limites</w:t>
      </w:r>
      <w:proofErr w:type="spellEnd"/>
      <w:r w:rsidRPr="004C1F9C">
        <w:rPr>
          <w:rFonts w:cs="Arial"/>
          <w:smallCaps/>
          <w:color w:val="auto"/>
          <w:szCs w:val="20"/>
          <w:lang w:val="es-CL"/>
        </w:rPr>
        <w:t xml:space="preserve"> permitidos por la ley aplicable.</w:t>
      </w:r>
    </w:p>
    <w:p w14:paraId="2364BE4B" w14:textId="77777777" w:rsidR="004C1F9C" w:rsidRPr="004C1F9C" w:rsidRDefault="004C1F9C" w:rsidP="004C1F9C">
      <w:pPr>
        <w:ind w:left="720" w:hanging="436"/>
        <w:jc w:val="both"/>
        <w:rPr>
          <w:rFonts w:cs="Arial"/>
          <w:smallCaps/>
          <w:color w:val="auto"/>
          <w:szCs w:val="20"/>
          <w:lang w:val="es-CL"/>
        </w:rPr>
      </w:pPr>
    </w:p>
    <w:p w14:paraId="6AE4FB25" w14:textId="77777777" w:rsidR="004C1F9C" w:rsidRPr="004C1F9C" w:rsidRDefault="004C1F9C" w:rsidP="004C1F9C">
      <w:pPr>
        <w:ind w:left="720" w:hanging="436"/>
        <w:jc w:val="both"/>
        <w:rPr>
          <w:rFonts w:cs="Arial"/>
          <w:smallCaps/>
          <w:color w:val="auto"/>
          <w:szCs w:val="20"/>
          <w:lang w:val="es-CL"/>
        </w:rPr>
      </w:pPr>
      <w:r w:rsidRPr="004C1F9C">
        <w:rPr>
          <w:rFonts w:cs="Arial"/>
          <w:smallCaps/>
          <w:color w:val="auto"/>
          <w:szCs w:val="20"/>
          <w:lang w:val="es-CL"/>
        </w:rPr>
        <w:lastRenderedPageBreak/>
        <w:t xml:space="preserve">9.5. </w:t>
      </w:r>
      <w:r w:rsidRPr="004C1F9C">
        <w:rPr>
          <w:rFonts w:cs="Arial"/>
          <w:smallCaps/>
          <w:color w:val="auto"/>
          <w:szCs w:val="20"/>
          <w:lang w:val="es-CL"/>
        </w:rPr>
        <w:tab/>
        <w:t>Hexagon no tendrá responsabilidad en relación con la información proporcionada por el Cliente o por la omisión de cualquier información que le debería haber proporcionado el cliente.</w:t>
      </w:r>
    </w:p>
    <w:p w14:paraId="6D839840" w14:textId="77777777" w:rsidR="004C1F9C" w:rsidRPr="004C1F9C" w:rsidRDefault="004C1F9C" w:rsidP="004C1F9C">
      <w:pPr>
        <w:ind w:left="720" w:hanging="436"/>
        <w:jc w:val="both"/>
        <w:rPr>
          <w:rFonts w:cs="Arial"/>
          <w:smallCaps/>
          <w:color w:val="auto"/>
          <w:szCs w:val="20"/>
          <w:lang w:val="es-CL"/>
        </w:rPr>
      </w:pPr>
    </w:p>
    <w:p w14:paraId="6C74B8F9" w14:textId="77777777" w:rsidR="004C1F9C" w:rsidRPr="004C1F9C" w:rsidRDefault="004C1F9C" w:rsidP="004C1F9C">
      <w:pPr>
        <w:ind w:left="720" w:hanging="436"/>
        <w:jc w:val="both"/>
        <w:rPr>
          <w:rFonts w:cs="Arial"/>
          <w:smallCaps/>
          <w:color w:val="auto"/>
          <w:szCs w:val="20"/>
          <w:lang w:val="es-CL"/>
        </w:rPr>
      </w:pPr>
      <w:r w:rsidRPr="004C1F9C">
        <w:rPr>
          <w:rFonts w:cs="Arial"/>
          <w:smallCaps/>
          <w:color w:val="auto"/>
          <w:szCs w:val="20"/>
          <w:lang w:val="es-CL"/>
        </w:rPr>
        <w:t xml:space="preserve">9.6. </w:t>
      </w:r>
      <w:r w:rsidRPr="004C1F9C">
        <w:rPr>
          <w:rFonts w:cs="Arial"/>
          <w:smallCaps/>
          <w:color w:val="auto"/>
          <w:szCs w:val="20"/>
          <w:lang w:val="es-CL"/>
        </w:rPr>
        <w:tab/>
        <w:t>Hexagon no será responsable de ningún modo de suspender o cancelar envíos o realizar el presente si cualquier Producto está sujeto a una alegación creíble de infracción de la propiedad intelectual en el juicio razonable de Hexagon.</w:t>
      </w:r>
    </w:p>
    <w:p w14:paraId="54E90DAF" w14:textId="77777777" w:rsidR="004C1F9C" w:rsidRPr="004C1F9C" w:rsidRDefault="004C1F9C" w:rsidP="004C1F9C">
      <w:pPr>
        <w:ind w:left="720" w:hanging="436"/>
        <w:jc w:val="both"/>
        <w:rPr>
          <w:rFonts w:cs="Arial"/>
          <w:color w:val="auto"/>
          <w:szCs w:val="20"/>
          <w:lang w:val="es-CL"/>
        </w:rPr>
      </w:pPr>
    </w:p>
    <w:p w14:paraId="0BBEDBB4" w14:textId="77777777" w:rsidR="004C1F9C" w:rsidRPr="004C1F9C" w:rsidRDefault="004C1F9C" w:rsidP="004C1F9C">
      <w:pPr>
        <w:ind w:left="720" w:hanging="436"/>
        <w:jc w:val="both"/>
        <w:rPr>
          <w:rFonts w:cs="Arial"/>
          <w:smallCaps/>
          <w:color w:val="auto"/>
          <w:szCs w:val="20"/>
          <w:lang w:val="es-CL"/>
        </w:rPr>
      </w:pPr>
      <w:r w:rsidRPr="004C1F9C">
        <w:rPr>
          <w:rFonts w:cs="Arial"/>
          <w:smallCaps/>
          <w:color w:val="auto"/>
          <w:szCs w:val="20"/>
          <w:lang w:val="es-CL"/>
        </w:rPr>
        <w:t xml:space="preserve">9.7. </w:t>
      </w:r>
      <w:r w:rsidRPr="004C1F9C">
        <w:rPr>
          <w:rFonts w:cs="Arial"/>
          <w:smallCaps/>
          <w:color w:val="auto"/>
          <w:szCs w:val="20"/>
          <w:lang w:val="es-CL"/>
        </w:rPr>
        <w:tab/>
        <w:t>Hexagon no será responsable de ningún daño, pérdida, costos o gastos que resulten de que el Cliente contrate a un tercero para proporcionar servicios, entrenamiento o mantenimiento con respecto a cualquiera de los Productos de Hexagon.</w:t>
      </w:r>
    </w:p>
    <w:p w14:paraId="33FF35CC" w14:textId="77777777" w:rsidR="004C1F9C" w:rsidRPr="004C1F9C" w:rsidRDefault="004C1F9C" w:rsidP="004C1F9C">
      <w:pPr>
        <w:jc w:val="both"/>
        <w:rPr>
          <w:rFonts w:cs="Arial"/>
          <w:color w:val="auto"/>
          <w:szCs w:val="20"/>
          <w:lang w:val="es-CL"/>
        </w:rPr>
      </w:pPr>
    </w:p>
    <w:p w14:paraId="60BFAFCB" w14:textId="77777777" w:rsidR="004C1F9C" w:rsidRPr="004C1F9C" w:rsidRDefault="004C1F9C" w:rsidP="004C1F9C">
      <w:pPr>
        <w:jc w:val="both"/>
        <w:rPr>
          <w:rFonts w:cs="Arial"/>
          <w:color w:val="auto"/>
          <w:szCs w:val="20"/>
          <w:lang w:val="es-CL"/>
        </w:rPr>
      </w:pPr>
      <w:r w:rsidRPr="004C1F9C">
        <w:rPr>
          <w:rFonts w:cs="Arial"/>
          <w:b/>
          <w:color w:val="auto"/>
          <w:szCs w:val="20"/>
          <w:lang w:val="es-CL"/>
        </w:rPr>
        <w:t>10</w:t>
      </w:r>
      <w:r w:rsidRPr="004C1F9C">
        <w:rPr>
          <w:rFonts w:cs="Arial"/>
          <w:color w:val="auto"/>
          <w:szCs w:val="20"/>
          <w:lang w:val="es-CL"/>
        </w:rPr>
        <w:t xml:space="preserve">. </w:t>
      </w:r>
      <w:r w:rsidRPr="004C1F9C">
        <w:rPr>
          <w:rFonts w:cs="Arial"/>
          <w:b/>
          <w:bCs/>
          <w:color w:val="auto"/>
          <w:szCs w:val="20"/>
          <w:u w:val="single"/>
          <w:lang w:val="es-CL"/>
        </w:rPr>
        <w:t>Indemnización</w:t>
      </w:r>
      <w:r w:rsidRPr="004C1F9C">
        <w:rPr>
          <w:rFonts w:cs="Arial"/>
          <w:color w:val="auto"/>
          <w:szCs w:val="20"/>
          <w:lang w:val="es-CL"/>
        </w:rPr>
        <w:t>.</w:t>
      </w:r>
    </w:p>
    <w:p w14:paraId="34C7F309" w14:textId="77777777" w:rsidR="004C1F9C" w:rsidRPr="004C1F9C" w:rsidRDefault="004C1F9C" w:rsidP="004C1F9C">
      <w:pPr>
        <w:jc w:val="both"/>
        <w:rPr>
          <w:rFonts w:cs="Arial"/>
          <w:color w:val="auto"/>
          <w:szCs w:val="20"/>
          <w:lang w:val="es-CL"/>
        </w:rPr>
      </w:pPr>
    </w:p>
    <w:p w14:paraId="75C37682"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10.1. Hexagon defenderá, indemnizará y mantendrá al Cliente indemne de y contra cualquier responsabilidad, conciliación, penalización, costo, daño, honorarios, multas, pérdidas, sentencias, responsabilidades y gastos (incluidos los honorarios y costos razonables de abogados) (colectivamente, "</w:t>
      </w:r>
      <w:r w:rsidRPr="004C1F9C">
        <w:rPr>
          <w:rFonts w:cs="Arial"/>
          <w:b/>
          <w:color w:val="auto"/>
          <w:szCs w:val="20"/>
          <w:lang w:val="es-CL"/>
        </w:rPr>
        <w:t>Daños</w:t>
      </w:r>
      <w:r w:rsidRPr="004C1F9C">
        <w:rPr>
          <w:rFonts w:cs="Arial"/>
          <w:color w:val="auto"/>
          <w:szCs w:val="20"/>
          <w:lang w:val="es-CL"/>
        </w:rPr>
        <w:t>”) Incurridos como resultado de reclamaciones, alegaciones, juicios, acciones o demandas de terceros (</w:t>
      </w:r>
      <w:proofErr w:type="spellStart"/>
      <w:r w:rsidRPr="004C1F9C">
        <w:rPr>
          <w:rFonts w:cs="Arial"/>
          <w:color w:val="auto"/>
          <w:szCs w:val="20"/>
          <w:lang w:val="es-CL"/>
        </w:rPr>
        <w:t>colectivamente,“</w:t>
      </w:r>
      <w:r w:rsidRPr="004C1F9C">
        <w:rPr>
          <w:rFonts w:cs="Arial"/>
          <w:b/>
          <w:color w:val="auto"/>
          <w:szCs w:val="20"/>
          <w:lang w:val="es-CL"/>
        </w:rPr>
        <w:t>Reclamaciones</w:t>
      </w:r>
      <w:proofErr w:type="spellEnd"/>
      <w:r w:rsidRPr="004C1F9C">
        <w:rPr>
          <w:rFonts w:cs="Arial"/>
          <w:color w:val="auto"/>
          <w:szCs w:val="20"/>
          <w:lang w:val="es-CL"/>
        </w:rPr>
        <w:t>”) en la medida en que surjan o se relacionen con una Reclamación de que un Producto Hexagon viola cualquier patente o derecho de autor existente a partir de la fecha de compra de los Productos, siempre que: (i) el Cliente mantenga una garantía válida para dicho Producto; y (</w:t>
      </w:r>
      <w:proofErr w:type="spellStart"/>
      <w:r w:rsidRPr="004C1F9C">
        <w:rPr>
          <w:rFonts w:cs="Arial"/>
          <w:color w:val="auto"/>
          <w:szCs w:val="20"/>
          <w:lang w:val="es-CL"/>
        </w:rPr>
        <w:t>ii</w:t>
      </w:r>
      <w:proofErr w:type="spellEnd"/>
      <w:r w:rsidRPr="004C1F9C">
        <w:rPr>
          <w:rFonts w:cs="Arial"/>
          <w:color w:val="auto"/>
          <w:szCs w:val="20"/>
          <w:lang w:val="es-CL"/>
        </w:rPr>
        <w:t>) dicho Producto se utiliza de acuerdo con la Documentación y este Contrato.</w:t>
      </w:r>
    </w:p>
    <w:p w14:paraId="66A65C0D" w14:textId="77777777" w:rsidR="004C1F9C" w:rsidRPr="004C1F9C" w:rsidRDefault="004C1F9C" w:rsidP="004C1F9C">
      <w:pPr>
        <w:ind w:left="720" w:hanging="436"/>
        <w:jc w:val="both"/>
        <w:rPr>
          <w:rFonts w:cs="Arial"/>
          <w:color w:val="auto"/>
          <w:szCs w:val="20"/>
          <w:lang w:val="es-CL"/>
        </w:rPr>
      </w:pPr>
    </w:p>
    <w:p w14:paraId="17263E42"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10.2. El Cliente defenderá, indemnizará y mantendrá indemne a Hexagon de y contra cualquier Daño incurrido como resultado de cualquier Reclamación que surja de o se relacione con: (a) una violación o incumplimiento de cualquier ley o reglamento aplicable por las Partes del Cliente; (b) acceso o uso de los Productos por las Partes del Cliente en la conducción de sus respectivos negocios (incluido el uso indebido o ilegal de los Productos); (c) la negligencia grave o la mala conducta intencionada o injustificada de las Partes del Cliente o cualquier lesión personal, daño a la propiedad o muerte como resultado de cualquier acto u omisión de las Partes del Cliente; (d) cualquier uso indebido o divulgación no autorizada de cualquier IC de Hexagon; (e) cualquier reclamo por infracción de la propiedad intelectual cuando el Cliente haga un mal uso o modifique los Productos sin autorización o cuando la combinación del Cliente de los Productos con otros componentes o Productos provoque dicha infracción; (f) cualquier divulgación o uso de datos de Hexagon por parte del Cliente según lo contemplado en este Contrato, o (g) cualquier decisión comercial tomada por el Cliente, en su totalidad o en parte, basada en el uso o recepción de los Productos.</w:t>
      </w:r>
    </w:p>
    <w:p w14:paraId="312F3428" w14:textId="77777777" w:rsidR="004C1F9C" w:rsidRPr="004C1F9C" w:rsidRDefault="004C1F9C" w:rsidP="004C1F9C">
      <w:pPr>
        <w:ind w:left="720" w:hanging="436"/>
        <w:jc w:val="both"/>
        <w:rPr>
          <w:rFonts w:cs="Arial"/>
          <w:color w:val="auto"/>
          <w:szCs w:val="20"/>
          <w:lang w:val="es-CL"/>
        </w:rPr>
      </w:pPr>
    </w:p>
    <w:p w14:paraId="7AF0B5A0"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10.3. Las indemnizaciones anteriores están condicionadas a: (a) notificación inmediata por escrito a la otra parte de cualquier Reclamación por la cual una parte solicita indemnización; (b) permitir que la parte </w:t>
      </w:r>
      <w:proofErr w:type="spellStart"/>
      <w:r w:rsidRPr="004C1F9C">
        <w:rPr>
          <w:rFonts w:cs="Arial"/>
          <w:color w:val="auto"/>
          <w:szCs w:val="20"/>
          <w:lang w:val="es-CL"/>
        </w:rPr>
        <w:t>indemnizadora</w:t>
      </w:r>
      <w:proofErr w:type="spellEnd"/>
      <w:r w:rsidRPr="004C1F9C">
        <w:rPr>
          <w:rFonts w:cs="Arial"/>
          <w:color w:val="auto"/>
          <w:szCs w:val="20"/>
          <w:lang w:val="es-CL"/>
        </w:rPr>
        <w:t xml:space="preserve"> tenga el control total y exclusivo de la defensa de dicha Reclamación, incluido el derecho a llegar a un acuerdo; y (c) la parte indemnizada proporciona a la parte </w:t>
      </w:r>
      <w:proofErr w:type="spellStart"/>
      <w:r w:rsidRPr="004C1F9C">
        <w:rPr>
          <w:rFonts w:cs="Arial"/>
          <w:color w:val="auto"/>
          <w:szCs w:val="20"/>
          <w:lang w:val="es-CL"/>
        </w:rPr>
        <w:t>indemnizadora</w:t>
      </w:r>
      <w:proofErr w:type="spellEnd"/>
      <w:r w:rsidRPr="004C1F9C">
        <w:rPr>
          <w:rFonts w:cs="Arial"/>
          <w:color w:val="auto"/>
          <w:szCs w:val="20"/>
          <w:lang w:val="es-CL"/>
        </w:rPr>
        <w:t xml:space="preserve"> la cooperación y la asistencia razonables que se solicitan.</w:t>
      </w:r>
    </w:p>
    <w:p w14:paraId="7F74A5D2" w14:textId="77777777" w:rsidR="004C1F9C" w:rsidRPr="004C1F9C" w:rsidRDefault="004C1F9C" w:rsidP="004C1F9C">
      <w:pPr>
        <w:jc w:val="both"/>
        <w:rPr>
          <w:rFonts w:cs="Arial"/>
          <w:color w:val="auto"/>
          <w:szCs w:val="20"/>
          <w:lang w:val="es-CL"/>
        </w:rPr>
      </w:pPr>
    </w:p>
    <w:p w14:paraId="390A5C4E" w14:textId="77777777" w:rsidR="004C1F9C" w:rsidRPr="004C1F9C" w:rsidRDefault="004C1F9C" w:rsidP="004C1F9C">
      <w:pPr>
        <w:jc w:val="both"/>
        <w:rPr>
          <w:rFonts w:cs="Arial"/>
          <w:color w:val="auto"/>
          <w:szCs w:val="20"/>
          <w:lang w:val="es-CL"/>
        </w:rPr>
      </w:pPr>
      <w:r w:rsidRPr="004C1F9C">
        <w:rPr>
          <w:rFonts w:cs="Arial"/>
          <w:b/>
          <w:color w:val="auto"/>
          <w:szCs w:val="20"/>
          <w:lang w:val="es-CL"/>
        </w:rPr>
        <w:t>11</w:t>
      </w:r>
      <w:r w:rsidRPr="004C1F9C">
        <w:rPr>
          <w:rFonts w:cs="Arial"/>
          <w:color w:val="auto"/>
          <w:szCs w:val="20"/>
          <w:lang w:val="es-CL"/>
        </w:rPr>
        <w:t xml:space="preserve">. </w:t>
      </w:r>
      <w:r w:rsidRPr="004C1F9C">
        <w:rPr>
          <w:rFonts w:cs="Arial"/>
          <w:b/>
          <w:bCs/>
          <w:color w:val="auto"/>
          <w:szCs w:val="20"/>
          <w:u w:val="single"/>
          <w:lang w:val="es-CL"/>
        </w:rPr>
        <w:t>Ley Aplicable</w:t>
      </w:r>
      <w:r w:rsidRPr="004C1F9C">
        <w:rPr>
          <w:rFonts w:cs="Arial"/>
          <w:color w:val="auto"/>
          <w:szCs w:val="20"/>
          <w:lang w:val="es-CL"/>
        </w:rPr>
        <w:t>. Este Contrato y todos los asuntos que surjan de o se relacionen con este Contrato se rigen e interpretan de acuerdo con las leyes de la jurisdicción relevante según se establece en el cuadro a continuación, sin tener en cuenta sus disposiciones sobre conflictos de leyes. En caso de que este Contrato se ejecute donde no esté establecida una entidad Hexagon, se aplicarán las leyes y la jurisdicción de Inglaterra y Gales. Las partes acuerdan que la Convención de las Naciones Unidas sobre los Contratos de Compraventa Internacional de Mercancías no se aplica a este Contrato. Consulte la tabla a continuación (página siguiente):</w:t>
      </w:r>
    </w:p>
    <w:p w14:paraId="5D83EF48" w14:textId="77777777" w:rsidR="004C1F9C" w:rsidRPr="004C1F9C" w:rsidRDefault="004C1F9C" w:rsidP="004C1F9C">
      <w:pPr>
        <w:jc w:val="both"/>
        <w:rPr>
          <w:rFonts w:cs="Arial"/>
          <w:color w:val="auto"/>
          <w:szCs w:val="20"/>
          <w:lang w:val="es-CL"/>
        </w:rPr>
      </w:pPr>
    </w:p>
    <w:p w14:paraId="1425DD46" w14:textId="77777777" w:rsidR="004C1F9C" w:rsidRPr="004C1F9C" w:rsidRDefault="004C1F9C" w:rsidP="004C1F9C">
      <w:pPr>
        <w:jc w:val="both"/>
        <w:rPr>
          <w:rFonts w:cs="Arial"/>
          <w:color w:val="auto"/>
          <w:szCs w:val="20"/>
          <w:lang w:val="es-CL"/>
        </w:rPr>
      </w:pPr>
    </w:p>
    <w:p w14:paraId="0BA6946F" w14:textId="77777777" w:rsidR="004C1F9C" w:rsidRPr="004C1F9C" w:rsidRDefault="004C1F9C" w:rsidP="004C1F9C">
      <w:pPr>
        <w:jc w:val="center"/>
        <w:rPr>
          <w:rFonts w:cs="Arial"/>
          <w:b/>
          <w:bCs/>
          <w:i/>
          <w:iCs/>
          <w:color w:val="auto"/>
          <w:sz w:val="24"/>
          <w:lang w:val="es-CL"/>
        </w:rPr>
      </w:pPr>
      <w:r w:rsidRPr="004C1F9C">
        <w:rPr>
          <w:rFonts w:cs="Arial"/>
          <w:b/>
          <w:bCs/>
          <w:i/>
          <w:iCs/>
          <w:color w:val="auto"/>
          <w:sz w:val="24"/>
          <w:lang w:val="es-CL"/>
        </w:rPr>
        <w:t>[DEJADO EN BLANCO INTENCIONALMENTE]</w:t>
      </w:r>
    </w:p>
    <w:p w14:paraId="6E949586" w14:textId="77777777" w:rsidR="00ED2EDA" w:rsidRDefault="00ED2EDA" w:rsidP="00ED2EDA">
      <w:pPr>
        <w:jc w:val="both"/>
        <w:rPr>
          <w:rFonts w:cs="Arial"/>
          <w:szCs w:val="20"/>
        </w:rPr>
      </w:pPr>
    </w:p>
    <w:p w14:paraId="55391523" w14:textId="2FDE3F22" w:rsidR="007A4F4E" w:rsidRDefault="007A4F4E" w:rsidP="00ED2EDA">
      <w:pPr>
        <w:jc w:val="both"/>
        <w:rPr>
          <w:rFonts w:cs="Arial"/>
          <w:szCs w:val="20"/>
        </w:rPr>
      </w:pPr>
      <w:r>
        <w:rPr>
          <w:rFonts w:cs="Arial"/>
          <w:szCs w:val="20"/>
        </w:rPr>
        <w:br w:type="page"/>
      </w:r>
    </w:p>
    <w:tbl>
      <w:tblPr>
        <w:tblpPr w:leftFromText="180" w:rightFromText="180" w:vertAnchor="text" w:horzAnchor="margin" w:tblpY="-13"/>
        <w:tblW w:w="9000" w:type="dxa"/>
        <w:tblLayout w:type="fixed"/>
        <w:tblCellMar>
          <w:left w:w="0" w:type="dxa"/>
          <w:right w:w="0" w:type="dxa"/>
        </w:tblCellMar>
        <w:tblLook w:val="01E0" w:firstRow="1" w:lastRow="1" w:firstColumn="1" w:lastColumn="1" w:noHBand="0" w:noVBand="0"/>
      </w:tblPr>
      <w:tblGrid>
        <w:gridCol w:w="4500"/>
        <w:gridCol w:w="1710"/>
        <w:gridCol w:w="2790"/>
      </w:tblGrid>
      <w:tr w:rsidR="00412DBD" w14:paraId="79B515DD" w14:textId="77777777" w:rsidTr="004C1F9C">
        <w:trPr>
          <w:trHeight w:val="450"/>
        </w:trPr>
        <w:tc>
          <w:tcPr>
            <w:tcW w:w="4500" w:type="dxa"/>
            <w:shd w:val="clear" w:color="auto" w:fill="231F20"/>
          </w:tcPr>
          <w:p w14:paraId="13CE312B" w14:textId="082855AD" w:rsidR="00412DBD" w:rsidRPr="004C1F9C" w:rsidRDefault="004C1F9C" w:rsidP="004C1F9C">
            <w:pPr>
              <w:pStyle w:val="TableParagraph"/>
              <w:spacing w:before="85" w:line="228" w:lineRule="auto"/>
              <w:ind w:left="0" w:right="170"/>
              <w:jc w:val="center"/>
              <w:rPr>
                <w:rFonts w:ascii="Hexagon Akkurat"/>
                <w:b/>
                <w:sz w:val="16"/>
                <w:szCs w:val="16"/>
              </w:rPr>
            </w:pPr>
            <w:r w:rsidRPr="004C1F9C">
              <w:rPr>
                <w:noProof/>
                <w:sz w:val="16"/>
                <w:szCs w:val="16"/>
              </w:rPr>
              <w:lastRenderedPageBreak/>
              <w:drawing>
                <wp:anchor distT="0" distB="0" distL="114300" distR="114300" simplePos="0" relativeHeight="251659264" behindDoc="0" locked="0" layoutInCell="1" allowOverlap="1" wp14:anchorId="55DCF3A6" wp14:editId="098FD59E">
                  <wp:simplePos x="0" y="0"/>
                  <wp:positionH relativeFrom="margin">
                    <wp:posOffset>-635</wp:posOffset>
                  </wp:positionH>
                  <wp:positionV relativeFrom="paragraph">
                    <wp:posOffset>220345</wp:posOffset>
                  </wp:positionV>
                  <wp:extent cx="5712460" cy="6477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xagon_Brand_Bar_Word_Template.jpg"/>
                          <pic:cNvPicPr/>
                        </pic:nvPicPr>
                        <pic:blipFill rotWithShape="1">
                          <a:blip r:embed="rId9" cstate="print">
                            <a:extLst>
                              <a:ext uri="{28A0092B-C50C-407E-A947-70E740481C1C}">
                                <a14:useLocalDpi xmlns:a14="http://schemas.microsoft.com/office/drawing/2010/main" val="0"/>
                              </a:ext>
                            </a:extLst>
                          </a:blip>
                          <a:srcRect l="503" t="-1400" r="509" b="23686"/>
                          <a:stretch/>
                        </pic:blipFill>
                        <pic:spPr bwMode="auto">
                          <a:xfrm flipV="1">
                            <a:off x="0" y="0"/>
                            <a:ext cx="5712460"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4C1F9C">
              <w:rPr>
                <w:rFonts w:ascii="Hexagon Akkurat"/>
                <w:b/>
                <w:color w:val="FFFFFF"/>
                <w:sz w:val="16"/>
                <w:szCs w:val="16"/>
              </w:rPr>
              <w:t>Entidad</w:t>
            </w:r>
            <w:proofErr w:type="spellEnd"/>
            <w:r w:rsidRPr="004C1F9C">
              <w:rPr>
                <w:rFonts w:ascii="Hexagon Akkurat"/>
                <w:b/>
                <w:color w:val="FFFFFF"/>
                <w:sz w:val="16"/>
                <w:szCs w:val="16"/>
              </w:rPr>
              <w:t xml:space="preserve"> </w:t>
            </w:r>
            <w:r w:rsidR="00412DBD" w:rsidRPr="004C1F9C">
              <w:rPr>
                <w:rFonts w:ascii="Hexagon Akkurat"/>
                <w:b/>
                <w:color w:val="FFFFFF"/>
                <w:sz w:val="16"/>
                <w:szCs w:val="16"/>
              </w:rPr>
              <w:t>Hexagon Mining</w:t>
            </w:r>
          </w:p>
        </w:tc>
        <w:tc>
          <w:tcPr>
            <w:tcW w:w="1710" w:type="dxa"/>
            <w:shd w:val="clear" w:color="auto" w:fill="231F20"/>
          </w:tcPr>
          <w:p w14:paraId="22ADAB8D" w14:textId="6D385623" w:rsidR="00412DBD" w:rsidRPr="004C1F9C" w:rsidRDefault="004C1F9C" w:rsidP="004C1F9C">
            <w:pPr>
              <w:pStyle w:val="TableParagraph"/>
              <w:spacing w:before="85" w:line="228" w:lineRule="auto"/>
              <w:ind w:left="0" w:right="170"/>
              <w:jc w:val="center"/>
              <w:rPr>
                <w:rFonts w:ascii="Hexagon Akkurat"/>
                <w:b/>
                <w:sz w:val="16"/>
                <w:szCs w:val="16"/>
              </w:rPr>
            </w:pPr>
            <w:r w:rsidRPr="004C1F9C">
              <w:rPr>
                <w:rFonts w:ascii="Arial" w:hAnsi="Arial" w:cs="Arial"/>
                <w:b/>
                <w:bCs/>
                <w:sz w:val="16"/>
                <w:szCs w:val="16"/>
              </w:rPr>
              <w:t xml:space="preserve">País de </w:t>
            </w:r>
            <w:proofErr w:type="spellStart"/>
            <w:r w:rsidRPr="004C1F9C">
              <w:rPr>
                <w:rFonts w:ascii="Arial" w:hAnsi="Arial" w:cs="Arial"/>
                <w:b/>
                <w:bCs/>
                <w:sz w:val="16"/>
                <w:szCs w:val="16"/>
              </w:rPr>
              <w:t>Registro</w:t>
            </w:r>
            <w:proofErr w:type="spellEnd"/>
          </w:p>
        </w:tc>
        <w:tc>
          <w:tcPr>
            <w:tcW w:w="2790" w:type="dxa"/>
            <w:shd w:val="clear" w:color="auto" w:fill="231F20"/>
          </w:tcPr>
          <w:p w14:paraId="06FED81A" w14:textId="7CC47F03" w:rsidR="00412DBD" w:rsidRPr="004C1F9C" w:rsidRDefault="004C1F9C" w:rsidP="004C1F9C">
            <w:pPr>
              <w:pStyle w:val="TableParagraph"/>
              <w:spacing w:before="85" w:line="228" w:lineRule="auto"/>
              <w:ind w:left="0" w:right="170"/>
              <w:jc w:val="center"/>
              <w:rPr>
                <w:rFonts w:ascii="Hexagon Akkurat"/>
                <w:b/>
                <w:sz w:val="16"/>
                <w:szCs w:val="16"/>
              </w:rPr>
            </w:pPr>
            <w:r w:rsidRPr="004C1F9C">
              <w:rPr>
                <w:rFonts w:ascii="Arial" w:hAnsi="Arial" w:cs="Arial"/>
                <w:b/>
                <w:bCs/>
                <w:sz w:val="16"/>
                <w:szCs w:val="16"/>
              </w:rPr>
              <w:t xml:space="preserve">Ley / </w:t>
            </w:r>
            <w:proofErr w:type="spellStart"/>
            <w:r w:rsidRPr="004C1F9C">
              <w:rPr>
                <w:rFonts w:ascii="Arial" w:hAnsi="Arial" w:cs="Arial"/>
                <w:b/>
                <w:bCs/>
                <w:sz w:val="16"/>
                <w:szCs w:val="16"/>
              </w:rPr>
              <w:t>Jurisdicción</w:t>
            </w:r>
            <w:proofErr w:type="spellEnd"/>
            <w:r w:rsidRPr="004C1F9C">
              <w:rPr>
                <w:rFonts w:ascii="Arial" w:hAnsi="Arial" w:cs="Arial"/>
                <w:b/>
                <w:bCs/>
                <w:sz w:val="16"/>
                <w:szCs w:val="16"/>
              </w:rPr>
              <w:t xml:space="preserve"> </w:t>
            </w:r>
            <w:proofErr w:type="spellStart"/>
            <w:r w:rsidRPr="004C1F9C">
              <w:rPr>
                <w:rFonts w:ascii="Arial" w:hAnsi="Arial" w:cs="Arial"/>
                <w:b/>
                <w:bCs/>
                <w:sz w:val="16"/>
                <w:szCs w:val="16"/>
              </w:rPr>
              <w:t>Aplicable</w:t>
            </w:r>
            <w:proofErr w:type="spellEnd"/>
          </w:p>
        </w:tc>
      </w:tr>
      <w:tr w:rsidR="00412DBD" w14:paraId="3FED99B9" w14:textId="77777777" w:rsidTr="00412DBD">
        <w:trPr>
          <w:trHeight w:val="162"/>
        </w:trPr>
        <w:tc>
          <w:tcPr>
            <w:tcW w:w="4500" w:type="dxa"/>
            <w:tcBorders>
              <w:left w:val="single" w:sz="2" w:space="0" w:color="231F20"/>
              <w:right w:val="single" w:sz="2" w:space="0" w:color="231F20"/>
            </w:tcBorders>
            <w:shd w:val="clear" w:color="auto" w:fill="E6E7E8"/>
          </w:tcPr>
          <w:p w14:paraId="664215FD" w14:textId="77777777" w:rsidR="00A135BC" w:rsidRPr="00A56520" w:rsidRDefault="00A135BC" w:rsidP="00A135BC">
            <w:pPr>
              <w:pStyle w:val="HEXFooter"/>
              <w:rPr>
                <w:rFonts w:asciiTheme="minorHAnsi" w:hAnsiTheme="minorHAnsi" w:cstheme="minorHAnsi"/>
                <w:sz w:val="16"/>
              </w:rPr>
            </w:pPr>
            <w:r w:rsidRPr="00A56520">
              <w:rPr>
                <w:rFonts w:asciiTheme="minorHAnsi" w:hAnsiTheme="minorHAnsi" w:cstheme="minorHAnsi"/>
                <w:sz w:val="16"/>
              </w:rPr>
              <w:t>40 E Congress Street</w:t>
            </w:r>
            <w:r>
              <w:rPr>
                <w:rFonts w:asciiTheme="minorHAnsi" w:hAnsiTheme="minorHAnsi" w:cstheme="minorHAnsi"/>
                <w:sz w:val="16"/>
              </w:rPr>
              <w:t xml:space="preserve">, </w:t>
            </w:r>
            <w:r w:rsidRPr="00A56520">
              <w:rPr>
                <w:rFonts w:asciiTheme="minorHAnsi" w:hAnsiTheme="minorHAnsi" w:cstheme="minorHAnsi"/>
                <w:sz w:val="16"/>
              </w:rPr>
              <w:t>Suite 150</w:t>
            </w:r>
          </w:p>
          <w:p w14:paraId="10528832" w14:textId="77777777" w:rsidR="00A135BC" w:rsidRPr="00A56520" w:rsidRDefault="00A135BC" w:rsidP="00A135BC">
            <w:pPr>
              <w:pStyle w:val="HEXFooter"/>
              <w:rPr>
                <w:rFonts w:asciiTheme="minorHAnsi" w:hAnsiTheme="minorHAnsi" w:cstheme="minorHAnsi"/>
                <w:sz w:val="16"/>
                <w:lang w:val="es-CL"/>
              </w:rPr>
            </w:pPr>
            <w:r w:rsidRPr="00A56520">
              <w:rPr>
                <w:rFonts w:asciiTheme="minorHAnsi" w:hAnsiTheme="minorHAnsi" w:cstheme="minorHAnsi"/>
                <w:sz w:val="16"/>
                <w:lang w:val="es-CL"/>
              </w:rPr>
              <w:t>Tucson, AZ</w:t>
            </w:r>
            <w:r>
              <w:rPr>
                <w:rFonts w:asciiTheme="minorHAnsi" w:hAnsiTheme="minorHAnsi" w:cstheme="minorHAnsi"/>
                <w:sz w:val="16"/>
                <w:lang w:val="es-CL"/>
              </w:rPr>
              <w:t xml:space="preserve">, </w:t>
            </w:r>
            <w:r w:rsidRPr="00A56520">
              <w:rPr>
                <w:rFonts w:asciiTheme="minorHAnsi" w:hAnsiTheme="minorHAnsi" w:cstheme="minorHAnsi"/>
                <w:sz w:val="16"/>
                <w:lang w:val="es-CL"/>
              </w:rPr>
              <w:t xml:space="preserve">87501, USA </w:t>
            </w:r>
          </w:p>
          <w:p w14:paraId="493F8E40" w14:textId="77777777" w:rsidR="00A135BC" w:rsidRPr="00A56520" w:rsidRDefault="00A135BC" w:rsidP="00A135BC">
            <w:pPr>
              <w:pStyle w:val="HEXFooter"/>
              <w:ind w:right="23"/>
              <w:rPr>
                <w:rFonts w:asciiTheme="minorHAnsi" w:eastAsia="Times New Roman" w:hAnsiTheme="minorHAnsi" w:cstheme="minorHAnsi"/>
                <w:sz w:val="16"/>
                <w:szCs w:val="16"/>
                <w:lang w:val="es-CL"/>
              </w:rPr>
            </w:pPr>
            <w:r w:rsidRPr="00A56520">
              <w:rPr>
                <w:rFonts w:asciiTheme="minorHAnsi" w:eastAsia="Times New Roman" w:hAnsiTheme="minorHAnsi" w:cstheme="minorHAnsi"/>
                <w:sz w:val="16"/>
                <w:szCs w:val="16"/>
                <w:lang w:val="es-CL"/>
              </w:rPr>
              <w:t>T: +1 (520) 795-3891</w:t>
            </w:r>
            <w:r w:rsidRPr="00A56520">
              <w:rPr>
                <w:rFonts w:asciiTheme="minorHAnsi" w:eastAsia="Times New Roman" w:hAnsiTheme="minorHAnsi" w:cstheme="minorHAnsi"/>
                <w:sz w:val="16"/>
                <w:szCs w:val="16"/>
                <w:lang w:val="es-CL"/>
              </w:rPr>
              <w:br/>
              <w:t xml:space="preserve">F: +1 (520) 325-2568 </w:t>
            </w:r>
          </w:p>
          <w:p w14:paraId="26410DE9" w14:textId="2A0A456F" w:rsidR="00A135BC" w:rsidRDefault="00A135BC" w:rsidP="00A135BC">
            <w:pPr>
              <w:pStyle w:val="HEXFooter"/>
              <w:ind w:right="23"/>
              <w:rPr>
                <w:rFonts w:asciiTheme="minorHAnsi" w:eastAsia="Times New Roman" w:hAnsiTheme="minorHAnsi" w:cstheme="minorHAnsi"/>
                <w:sz w:val="16"/>
                <w:szCs w:val="16"/>
                <w:lang w:val="es-CL"/>
              </w:rPr>
            </w:pPr>
            <w:hyperlink r:id="rId10" w:history="1">
              <w:r w:rsidRPr="00D9537A">
                <w:rPr>
                  <w:rStyle w:val="Hyperlink"/>
                  <w:rFonts w:asciiTheme="minorHAnsi" w:eastAsia="Times New Roman" w:hAnsiTheme="minorHAnsi" w:cstheme="minorHAnsi"/>
                  <w:sz w:val="16"/>
                  <w:szCs w:val="16"/>
                  <w:lang w:val="es-CL"/>
                </w:rPr>
                <w:t>www.hexagonmining.com</w:t>
              </w:r>
            </w:hyperlink>
          </w:p>
          <w:p w14:paraId="1AC04B87" w14:textId="6604ABF7" w:rsidR="00A135BC" w:rsidRPr="00A135BC" w:rsidRDefault="00A135BC" w:rsidP="00A135BC">
            <w:pPr>
              <w:pStyle w:val="HEXFooter"/>
              <w:ind w:right="23"/>
              <w:rPr>
                <w:rFonts w:asciiTheme="minorHAnsi" w:hAnsiTheme="minorHAnsi" w:cstheme="minorHAnsi"/>
                <w:sz w:val="16"/>
                <w:szCs w:val="16"/>
                <w:lang w:val="es-CL"/>
              </w:rPr>
            </w:pPr>
            <w:r w:rsidRPr="00A135BC">
              <w:rPr>
                <w:rFonts w:asciiTheme="minorHAnsi" w:hAnsiTheme="minorHAnsi" w:cstheme="minorHAnsi"/>
                <w:sz w:val="16"/>
                <w:szCs w:val="16"/>
              </w:rPr>
              <w:t>Entidad Hexagon Mining País de Registro Ley / Jurisdicción Aplicable Blast Movement Technologies Brisbane International Pty Ltd</w:t>
            </w:r>
          </w:p>
          <w:p w14:paraId="3314B6DF" w14:textId="0F9F1DAC" w:rsidR="00412DBD" w:rsidRPr="009E4522" w:rsidRDefault="00412DBD" w:rsidP="00412DBD">
            <w:pPr>
              <w:pStyle w:val="TableText"/>
            </w:pPr>
          </w:p>
        </w:tc>
        <w:tc>
          <w:tcPr>
            <w:tcW w:w="1710" w:type="dxa"/>
            <w:vMerge w:val="restart"/>
            <w:tcBorders>
              <w:left w:val="single" w:sz="2" w:space="0" w:color="231F20"/>
              <w:right w:val="single" w:sz="2" w:space="0" w:color="231F20"/>
            </w:tcBorders>
            <w:shd w:val="clear" w:color="auto" w:fill="F9F9F9"/>
            <w:vAlign w:val="center"/>
          </w:tcPr>
          <w:p w14:paraId="3CB85EF4" w14:textId="77777777" w:rsidR="00412DBD" w:rsidRPr="001E536B" w:rsidRDefault="00412DBD" w:rsidP="00412DBD">
            <w:pPr>
              <w:pStyle w:val="TableText"/>
              <w:jc w:val="center"/>
            </w:pPr>
            <w:r w:rsidRPr="001E536B">
              <w:t>Australia</w:t>
            </w:r>
          </w:p>
        </w:tc>
        <w:tc>
          <w:tcPr>
            <w:tcW w:w="2790" w:type="dxa"/>
            <w:tcBorders>
              <w:left w:val="single" w:sz="2" w:space="0" w:color="231F20"/>
              <w:right w:val="single" w:sz="2" w:space="0" w:color="231F20"/>
            </w:tcBorders>
            <w:shd w:val="clear" w:color="auto" w:fill="E6E7E8"/>
          </w:tcPr>
          <w:p w14:paraId="081F9D99" w14:textId="77777777" w:rsidR="00412DBD" w:rsidRPr="001E536B" w:rsidRDefault="00412DBD" w:rsidP="00412DBD">
            <w:pPr>
              <w:pStyle w:val="TableText"/>
              <w:jc w:val="center"/>
            </w:pPr>
            <w:r w:rsidRPr="001E536B">
              <w:t>Brisbane</w:t>
            </w:r>
          </w:p>
        </w:tc>
      </w:tr>
      <w:tr w:rsidR="00412DBD" w14:paraId="7D30C780" w14:textId="77777777" w:rsidTr="00412DBD">
        <w:trPr>
          <w:trHeight w:val="180"/>
        </w:trPr>
        <w:tc>
          <w:tcPr>
            <w:tcW w:w="4500" w:type="dxa"/>
            <w:tcBorders>
              <w:left w:val="single" w:sz="2" w:space="0" w:color="231F20"/>
              <w:right w:val="single" w:sz="2" w:space="0" w:color="231F20"/>
            </w:tcBorders>
            <w:shd w:val="clear" w:color="auto" w:fill="F9F9F9"/>
          </w:tcPr>
          <w:p w14:paraId="192F2F51" w14:textId="77777777" w:rsidR="00412DBD" w:rsidRPr="009E4522" w:rsidRDefault="00412DBD" w:rsidP="00412DBD">
            <w:pPr>
              <w:pStyle w:val="TableText"/>
            </w:pPr>
            <w:r w:rsidRPr="009E4522">
              <w:t>Blast Movement Technologies Pty Ltd</w:t>
            </w:r>
          </w:p>
        </w:tc>
        <w:tc>
          <w:tcPr>
            <w:tcW w:w="1710" w:type="dxa"/>
            <w:vMerge/>
            <w:tcBorders>
              <w:left w:val="single" w:sz="2" w:space="0" w:color="231F20"/>
              <w:right w:val="single" w:sz="2" w:space="0" w:color="231F20"/>
            </w:tcBorders>
            <w:shd w:val="clear" w:color="auto" w:fill="F9F9F9"/>
            <w:vAlign w:val="center"/>
          </w:tcPr>
          <w:p w14:paraId="4236F97D"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520DF9B0" w14:textId="77777777" w:rsidR="00412DBD" w:rsidRPr="001E536B" w:rsidRDefault="00412DBD" w:rsidP="00412DBD">
            <w:pPr>
              <w:pStyle w:val="TableText"/>
              <w:jc w:val="center"/>
            </w:pPr>
            <w:r w:rsidRPr="001E536B">
              <w:t>Brisbane</w:t>
            </w:r>
          </w:p>
        </w:tc>
      </w:tr>
      <w:tr w:rsidR="00412DBD" w14:paraId="5B1AAFEF" w14:textId="77777777" w:rsidTr="00412DBD">
        <w:trPr>
          <w:trHeight w:val="180"/>
        </w:trPr>
        <w:tc>
          <w:tcPr>
            <w:tcW w:w="4500" w:type="dxa"/>
            <w:tcBorders>
              <w:left w:val="single" w:sz="2" w:space="0" w:color="231F20"/>
              <w:right w:val="single" w:sz="2" w:space="0" w:color="231F20"/>
            </w:tcBorders>
            <w:shd w:val="clear" w:color="auto" w:fill="E6E7E8"/>
          </w:tcPr>
          <w:p w14:paraId="53626F49" w14:textId="77777777" w:rsidR="00412DBD" w:rsidRPr="009E4522" w:rsidRDefault="00412DBD" w:rsidP="00412DBD">
            <w:pPr>
              <w:pStyle w:val="TableText"/>
            </w:pPr>
            <w:r w:rsidRPr="009E4522">
              <w:t>BMT 3 Holdings Pty Ltd</w:t>
            </w:r>
          </w:p>
        </w:tc>
        <w:tc>
          <w:tcPr>
            <w:tcW w:w="1710" w:type="dxa"/>
            <w:vMerge/>
            <w:tcBorders>
              <w:left w:val="single" w:sz="2" w:space="0" w:color="231F20"/>
              <w:right w:val="single" w:sz="2" w:space="0" w:color="231F20"/>
            </w:tcBorders>
            <w:shd w:val="clear" w:color="auto" w:fill="F9F9F9"/>
            <w:vAlign w:val="center"/>
          </w:tcPr>
          <w:p w14:paraId="0254320B"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73108066" w14:textId="77777777" w:rsidR="00412DBD" w:rsidRPr="001E536B" w:rsidRDefault="00412DBD" w:rsidP="00412DBD">
            <w:pPr>
              <w:pStyle w:val="TableText"/>
              <w:jc w:val="center"/>
            </w:pPr>
            <w:r w:rsidRPr="001E536B">
              <w:t>Brisbane</w:t>
            </w:r>
          </w:p>
        </w:tc>
      </w:tr>
      <w:tr w:rsidR="00412DBD" w14:paraId="7593FF1C" w14:textId="77777777" w:rsidTr="00412DBD">
        <w:trPr>
          <w:trHeight w:val="162"/>
        </w:trPr>
        <w:tc>
          <w:tcPr>
            <w:tcW w:w="4500" w:type="dxa"/>
            <w:tcBorders>
              <w:left w:val="single" w:sz="2" w:space="0" w:color="231F20"/>
              <w:right w:val="single" w:sz="2" w:space="0" w:color="231F20"/>
            </w:tcBorders>
            <w:shd w:val="clear" w:color="auto" w:fill="F9F9F9"/>
          </w:tcPr>
          <w:p w14:paraId="29DC3D5D" w14:textId="77777777" w:rsidR="00412DBD" w:rsidRPr="009E4522" w:rsidRDefault="00412DBD" w:rsidP="00412DBD">
            <w:pPr>
              <w:pStyle w:val="TableText"/>
            </w:pPr>
            <w:r w:rsidRPr="009E4522">
              <w:t>BMT Africa Pty Ltd</w:t>
            </w:r>
          </w:p>
        </w:tc>
        <w:tc>
          <w:tcPr>
            <w:tcW w:w="1710" w:type="dxa"/>
            <w:vMerge/>
            <w:tcBorders>
              <w:left w:val="single" w:sz="2" w:space="0" w:color="231F20"/>
              <w:right w:val="single" w:sz="2" w:space="0" w:color="231F20"/>
            </w:tcBorders>
            <w:shd w:val="clear" w:color="auto" w:fill="F9F9F9"/>
            <w:vAlign w:val="center"/>
          </w:tcPr>
          <w:p w14:paraId="012AF4F3"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6803D1C9" w14:textId="77777777" w:rsidR="00412DBD" w:rsidRPr="001E536B" w:rsidRDefault="00412DBD" w:rsidP="00412DBD">
            <w:pPr>
              <w:pStyle w:val="TableText"/>
              <w:jc w:val="center"/>
            </w:pPr>
            <w:r w:rsidRPr="001E536B">
              <w:t>Brisbane</w:t>
            </w:r>
          </w:p>
        </w:tc>
      </w:tr>
      <w:tr w:rsidR="00412DBD" w14:paraId="1B65EDAF" w14:textId="77777777" w:rsidTr="00412DBD">
        <w:trPr>
          <w:trHeight w:val="234"/>
        </w:trPr>
        <w:tc>
          <w:tcPr>
            <w:tcW w:w="4500" w:type="dxa"/>
            <w:tcBorders>
              <w:left w:val="single" w:sz="2" w:space="0" w:color="231F20"/>
              <w:right w:val="single" w:sz="2" w:space="0" w:color="231F20"/>
            </w:tcBorders>
            <w:shd w:val="clear" w:color="auto" w:fill="E6E7E8"/>
          </w:tcPr>
          <w:p w14:paraId="49AEBA7A" w14:textId="77777777" w:rsidR="00412DBD" w:rsidRPr="009E4522" w:rsidRDefault="00412DBD" w:rsidP="00412DBD">
            <w:pPr>
              <w:pStyle w:val="TableText"/>
            </w:pPr>
            <w:proofErr w:type="spellStart"/>
            <w:r w:rsidRPr="009E4522">
              <w:t>Guardvant</w:t>
            </w:r>
            <w:proofErr w:type="spellEnd"/>
            <w:r w:rsidRPr="009E4522">
              <w:t xml:space="preserve"> Pty Ltd</w:t>
            </w:r>
          </w:p>
        </w:tc>
        <w:tc>
          <w:tcPr>
            <w:tcW w:w="1710" w:type="dxa"/>
            <w:vMerge/>
            <w:tcBorders>
              <w:left w:val="single" w:sz="2" w:space="0" w:color="231F20"/>
              <w:right w:val="single" w:sz="2" w:space="0" w:color="231F20"/>
            </w:tcBorders>
            <w:shd w:val="clear" w:color="auto" w:fill="F9F9F9"/>
            <w:vAlign w:val="center"/>
          </w:tcPr>
          <w:p w14:paraId="4F34A3F9"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31837681" w14:textId="77777777" w:rsidR="00412DBD" w:rsidRPr="001E536B" w:rsidRDefault="00412DBD" w:rsidP="00412DBD">
            <w:pPr>
              <w:pStyle w:val="TableText"/>
              <w:jc w:val="center"/>
            </w:pPr>
            <w:proofErr w:type="spellStart"/>
            <w:r w:rsidRPr="001E536B">
              <w:t>Williamtown</w:t>
            </w:r>
            <w:proofErr w:type="spellEnd"/>
          </w:p>
        </w:tc>
      </w:tr>
      <w:tr w:rsidR="00412DBD" w14:paraId="2624CEE3" w14:textId="77777777" w:rsidTr="00412DBD">
        <w:trPr>
          <w:trHeight w:val="99"/>
        </w:trPr>
        <w:tc>
          <w:tcPr>
            <w:tcW w:w="4500" w:type="dxa"/>
            <w:tcBorders>
              <w:left w:val="single" w:sz="2" w:space="0" w:color="231F20"/>
              <w:right w:val="single" w:sz="2" w:space="0" w:color="231F20"/>
            </w:tcBorders>
            <w:shd w:val="clear" w:color="auto" w:fill="F9F9F9"/>
          </w:tcPr>
          <w:p w14:paraId="305C1C9B" w14:textId="77777777" w:rsidR="00412DBD" w:rsidRPr="009E4522" w:rsidRDefault="00412DBD" w:rsidP="00412DBD">
            <w:pPr>
              <w:pStyle w:val="TableText"/>
            </w:pPr>
            <w:proofErr w:type="spellStart"/>
            <w:r w:rsidRPr="009E4522">
              <w:t>MiPlan</w:t>
            </w:r>
            <w:proofErr w:type="spellEnd"/>
            <w:r w:rsidRPr="009E4522">
              <w:t xml:space="preserve"> Consulting Pty Ltd</w:t>
            </w:r>
          </w:p>
        </w:tc>
        <w:tc>
          <w:tcPr>
            <w:tcW w:w="1710" w:type="dxa"/>
            <w:vMerge/>
            <w:tcBorders>
              <w:left w:val="single" w:sz="2" w:space="0" w:color="231F20"/>
              <w:right w:val="single" w:sz="2" w:space="0" w:color="231F20"/>
            </w:tcBorders>
            <w:shd w:val="clear" w:color="auto" w:fill="F9F9F9"/>
            <w:vAlign w:val="center"/>
          </w:tcPr>
          <w:p w14:paraId="58C22B77"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2C0A672C" w14:textId="77777777" w:rsidR="00412DBD" w:rsidRPr="001E536B" w:rsidRDefault="00412DBD" w:rsidP="00412DBD">
            <w:pPr>
              <w:pStyle w:val="TableText"/>
              <w:jc w:val="center"/>
            </w:pPr>
            <w:r w:rsidRPr="001E536B">
              <w:t>Brisbane</w:t>
            </w:r>
          </w:p>
        </w:tc>
      </w:tr>
      <w:tr w:rsidR="00412DBD" w14:paraId="144BE133" w14:textId="77777777" w:rsidTr="00412DBD">
        <w:trPr>
          <w:trHeight w:val="378"/>
        </w:trPr>
        <w:tc>
          <w:tcPr>
            <w:tcW w:w="4500" w:type="dxa"/>
            <w:tcBorders>
              <w:left w:val="single" w:sz="2" w:space="0" w:color="231F20"/>
              <w:right w:val="single" w:sz="2" w:space="0" w:color="231F20"/>
            </w:tcBorders>
            <w:shd w:val="clear" w:color="auto" w:fill="E6E7E8"/>
          </w:tcPr>
          <w:p w14:paraId="6D21B460" w14:textId="77777777" w:rsidR="00412DBD" w:rsidRPr="009E4522" w:rsidRDefault="00412DBD" w:rsidP="00412DBD">
            <w:pPr>
              <w:pStyle w:val="TableText"/>
            </w:pPr>
            <w:proofErr w:type="spellStart"/>
            <w:r w:rsidRPr="009E4522">
              <w:t>Minesight</w:t>
            </w:r>
            <w:proofErr w:type="spellEnd"/>
            <w:r w:rsidRPr="009E4522">
              <w:t xml:space="preserve"> Applications Pty Ltd.</w:t>
            </w:r>
          </w:p>
        </w:tc>
        <w:tc>
          <w:tcPr>
            <w:tcW w:w="1710" w:type="dxa"/>
            <w:vMerge/>
            <w:tcBorders>
              <w:left w:val="single" w:sz="2" w:space="0" w:color="231F20"/>
              <w:right w:val="single" w:sz="2" w:space="0" w:color="231F20"/>
            </w:tcBorders>
            <w:shd w:val="clear" w:color="auto" w:fill="F9F9F9"/>
            <w:vAlign w:val="center"/>
          </w:tcPr>
          <w:p w14:paraId="4111C5E1"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61E11E14" w14:textId="77777777" w:rsidR="00412DBD" w:rsidRPr="001E536B" w:rsidRDefault="00412DBD" w:rsidP="00412DBD">
            <w:pPr>
              <w:pStyle w:val="TableText"/>
              <w:jc w:val="center"/>
            </w:pPr>
            <w:r w:rsidRPr="001E536B">
              <w:t>Perth</w:t>
            </w:r>
          </w:p>
        </w:tc>
      </w:tr>
      <w:tr w:rsidR="00412DBD" w14:paraId="4CAFBC53" w14:textId="77777777" w:rsidTr="00412DBD">
        <w:trPr>
          <w:trHeight w:val="46"/>
        </w:trPr>
        <w:tc>
          <w:tcPr>
            <w:tcW w:w="9000" w:type="dxa"/>
            <w:gridSpan w:val="3"/>
            <w:tcBorders>
              <w:left w:val="single" w:sz="2" w:space="0" w:color="231F20"/>
              <w:right w:val="single" w:sz="2" w:space="0" w:color="231F20"/>
            </w:tcBorders>
            <w:shd w:val="clear" w:color="auto" w:fill="333333" w:themeFill="background1"/>
            <w:vAlign w:val="center"/>
          </w:tcPr>
          <w:p w14:paraId="3E0B25A3" w14:textId="77777777" w:rsidR="00412DBD" w:rsidRPr="00B145FF" w:rsidRDefault="00412DBD" w:rsidP="00412DBD">
            <w:pPr>
              <w:pStyle w:val="TableText"/>
              <w:jc w:val="center"/>
              <w:rPr>
                <w:sz w:val="2"/>
                <w:szCs w:val="2"/>
              </w:rPr>
            </w:pPr>
            <w:r w:rsidRPr="00B145FF">
              <w:rPr>
                <w:sz w:val="2"/>
                <w:szCs w:val="2"/>
              </w:rPr>
              <w:t>x</w:t>
            </w:r>
          </w:p>
        </w:tc>
      </w:tr>
      <w:tr w:rsidR="00412DBD" w14:paraId="4167283C" w14:textId="77777777" w:rsidTr="00412DBD">
        <w:trPr>
          <w:trHeight w:val="153"/>
        </w:trPr>
        <w:tc>
          <w:tcPr>
            <w:tcW w:w="4500" w:type="dxa"/>
            <w:tcBorders>
              <w:left w:val="single" w:sz="2" w:space="0" w:color="231F20"/>
              <w:right w:val="single" w:sz="2" w:space="0" w:color="231F20"/>
            </w:tcBorders>
            <w:shd w:val="clear" w:color="auto" w:fill="E6E7E8"/>
          </w:tcPr>
          <w:p w14:paraId="0CD89B64" w14:textId="77777777" w:rsidR="00412DBD" w:rsidRPr="001E536B" w:rsidRDefault="00412DBD" w:rsidP="00412DBD">
            <w:pPr>
              <w:pStyle w:val="TableText"/>
            </w:pPr>
            <w:r w:rsidRPr="001E536B">
              <w:t xml:space="preserve">Hexagon Mining </w:t>
            </w:r>
            <w:proofErr w:type="spellStart"/>
            <w:r w:rsidRPr="001E536B">
              <w:t>Tecnologia</w:t>
            </w:r>
            <w:proofErr w:type="spellEnd"/>
            <w:r w:rsidRPr="001E536B">
              <w:t xml:space="preserve"> e </w:t>
            </w:r>
            <w:proofErr w:type="spellStart"/>
            <w:r w:rsidRPr="001E536B">
              <w:t>Sistemas</w:t>
            </w:r>
            <w:proofErr w:type="spellEnd"/>
            <w:r w:rsidRPr="001E536B">
              <w:t xml:space="preserve"> S/A</w:t>
            </w:r>
          </w:p>
        </w:tc>
        <w:tc>
          <w:tcPr>
            <w:tcW w:w="1710" w:type="dxa"/>
            <w:vMerge w:val="restart"/>
            <w:tcBorders>
              <w:left w:val="single" w:sz="2" w:space="0" w:color="231F20"/>
              <w:right w:val="single" w:sz="2" w:space="0" w:color="231F20"/>
            </w:tcBorders>
            <w:shd w:val="clear" w:color="auto" w:fill="F9F9F9"/>
            <w:vAlign w:val="center"/>
          </w:tcPr>
          <w:p w14:paraId="6CCDF9A2" w14:textId="77777777" w:rsidR="00412DBD" w:rsidRPr="001E536B" w:rsidRDefault="00412DBD" w:rsidP="00412DBD">
            <w:pPr>
              <w:pStyle w:val="TableText"/>
              <w:jc w:val="center"/>
            </w:pPr>
            <w:r w:rsidRPr="001E536B">
              <w:t>Brazil</w:t>
            </w:r>
          </w:p>
        </w:tc>
        <w:tc>
          <w:tcPr>
            <w:tcW w:w="2790" w:type="dxa"/>
            <w:tcBorders>
              <w:left w:val="single" w:sz="2" w:space="0" w:color="231F20"/>
              <w:right w:val="single" w:sz="2" w:space="0" w:color="231F20"/>
            </w:tcBorders>
            <w:shd w:val="clear" w:color="auto" w:fill="E6E7E8"/>
          </w:tcPr>
          <w:p w14:paraId="34EE9F6F" w14:textId="77777777" w:rsidR="00412DBD" w:rsidRPr="001E536B" w:rsidRDefault="00412DBD" w:rsidP="00412DBD">
            <w:pPr>
              <w:pStyle w:val="TableText"/>
              <w:jc w:val="center"/>
            </w:pPr>
            <w:r w:rsidRPr="001E536B">
              <w:t>Belo Horizonte, MG</w:t>
            </w:r>
          </w:p>
        </w:tc>
      </w:tr>
      <w:tr w:rsidR="00412DBD" w14:paraId="0E075714" w14:textId="77777777" w:rsidTr="00412DBD">
        <w:trPr>
          <w:trHeight w:val="495"/>
        </w:trPr>
        <w:tc>
          <w:tcPr>
            <w:tcW w:w="4500" w:type="dxa"/>
            <w:tcBorders>
              <w:left w:val="single" w:sz="2" w:space="0" w:color="231F20"/>
              <w:right w:val="single" w:sz="2" w:space="0" w:color="231F20"/>
            </w:tcBorders>
            <w:shd w:val="clear" w:color="auto" w:fill="F9F9F9"/>
          </w:tcPr>
          <w:p w14:paraId="2D7F6781" w14:textId="77777777" w:rsidR="00412DBD" w:rsidRPr="001E536B" w:rsidRDefault="00412DBD" w:rsidP="00412DBD">
            <w:pPr>
              <w:pStyle w:val="TableText"/>
            </w:pPr>
            <w:proofErr w:type="spellStart"/>
            <w:r w:rsidRPr="001E536B">
              <w:t>Manfra</w:t>
            </w:r>
            <w:proofErr w:type="spellEnd"/>
            <w:r w:rsidRPr="001E536B">
              <w:t xml:space="preserve"> &amp; Cia Ltda.</w:t>
            </w:r>
          </w:p>
        </w:tc>
        <w:tc>
          <w:tcPr>
            <w:tcW w:w="1710" w:type="dxa"/>
            <w:vMerge/>
            <w:tcBorders>
              <w:left w:val="single" w:sz="2" w:space="0" w:color="231F20"/>
              <w:right w:val="single" w:sz="2" w:space="0" w:color="231F20"/>
            </w:tcBorders>
            <w:shd w:val="clear" w:color="auto" w:fill="F9F9F9"/>
            <w:vAlign w:val="center"/>
          </w:tcPr>
          <w:p w14:paraId="0BB29450"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5CF0695F" w14:textId="77777777" w:rsidR="00412DBD" w:rsidRPr="001E536B" w:rsidRDefault="00412DBD" w:rsidP="00412DBD">
            <w:pPr>
              <w:pStyle w:val="TableText"/>
              <w:jc w:val="center"/>
            </w:pPr>
            <w:r w:rsidRPr="001E536B">
              <w:t>Curitiba, PR</w:t>
            </w:r>
          </w:p>
        </w:tc>
      </w:tr>
      <w:tr w:rsidR="00412DBD" w14:paraId="1C3EA416" w14:textId="77777777" w:rsidTr="00412DBD">
        <w:trPr>
          <w:trHeight w:val="46"/>
        </w:trPr>
        <w:tc>
          <w:tcPr>
            <w:tcW w:w="9000" w:type="dxa"/>
            <w:gridSpan w:val="3"/>
            <w:tcBorders>
              <w:left w:val="single" w:sz="2" w:space="0" w:color="231F20"/>
              <w:right w:val="single" w:sz="2" w:space="0" w:color="231F20"/>
            </w:tcBorders>
            <w:shd w:val="clear" w:color="auto" w:fill="333333" w:themeFill="background1"/>
            <w:vAlign w:val="center"/>
          </w:tcPr>
          <w:p w14:paraId="4AA44D84" w14:textId="77777777" w:rsidR="00412DBD" w:rsidRPr="00B145FF" w:rsidRDefault="00412DBD" w:rsidP="00412DBD">
            <w:pPr>
              <w:pStyle w:val="TableText"/>
              <w:jc w:val="center"/>
              <w:rPr>
                <w:sz w:val="2"/>
                <w:szCs w:val="2"/>
              </w:rPr>
            </w:pPr>
          </w:p>
        </w:tc>
      </w:tr>
      <w:tr w:rsidR="00412DBD" w14:paraId="5C80AD2F" w14:textId="77777777" w:rsidTr="00412DBD">
        <w:trPr>
          <w:trHeight w:val="495"/>
        </w:trPr>
        <w:tc>
          <w:tcPr>
            <w:tcW w:w="4500" w:type="dxa"/>
            <w:tcBorders>
              <w:left w:val="single" w:sz="2" w:space="0" w:color="231F20"/>
              <w:right w:val="single" w:sz="2" w:space="0" w:color="231F20"/>
            </w:tcBorders>
            <w:shd w:val="clear" w:color="auto" w:fill="F9F9F9"/>
          </w:tcPr>
          <w:p w14:paraId="2A299F62" w14:textId="77777777" w:rsidR="00412DBD" w:rsidRDefault="00412DBD" w:rsidP="00412DBD">
            <w:pPr>
              <w:pStyle w:val="TableText"/>
              <w:rPr>
                <w:color w:val="231F20"/>
                <w:sz w:val="14"/>
              </w:rPr>
            </w:pPr>
            <w:proofErr w:type="spellStart"/>
            <w:r w:rsidRPr="007758B9">
              <w:t>Minesight</w:t>
            </w:r>
            <w:proofErr w:type="spellEnd"/>
            <w:r w:rsidRPr="007758B9">
              <w:t xml:space="preserve"> ULC</w:t>
            </w:r>
          </w:p>
        </w:tc>
        <w:tc>
          <w:tcPr>
            <w:tcW w:w="1710" w:type="dxa"/>
            <w:tcBorders>
              <w:left w:val="single" w:sz="2" w:space="0" w:color="231F20"/>
              <w:right w:val="single" w:sz="2" w:space="0" w:color="231F20"/>
            </w:tcBorders>
            <w:shd w:val="clear" w:color="auto" w:fill="F9F9F9"/>
            <w:vAlign w:val="center"/>
          </w:tcPr>
          <w:p w14:paraId="19D43FB5" w14:textId="77777777" w:rsidR="00412DBD" w:rsidRPr="001E536B" w:rsidRDefault="00412DBD" w:rsidP="00412DBD">
            <w:pPr>
              <w:pStyle w:val="TableText"/>
              <w:jc w:val="center"/>
            </w:pPr>
            <w:r w:rsidRPr="001E536B">
              <w:t>Canada</w:t>
            </w:r>
          </w:p>
        </w:tc>
        <w:tc>
          <w:tcPr>
            <w:tcW w:w="2790" w:type="dxa"/>
            <w:tcBorders>
              <w:left w:val="single" w:sz="2" w:space="0" w:color="231F20"/>
              <w:right w:val="single" w:sz="2" w:space="0" w:color="231F20"/>
            </w:tcBorders>
            <w:shd w:val="clear" w:color="auto" w:fill="F9F9F9"/>
            <w:vAlign w:val="center"/>
          </w:tcPr>
          <w:p w14:paraId="7E9CB2B4" w14:textId="77777777" w:rsidR="00412DBD" w:rsidRPr="001E536B" w:rsidRDefault="00412DBD" w:rsidP="00412DBD">
            <w:pPr>
              <w:pStyle w:val="TableText"/>
              <w:jc w:val="center"/>
            </w:pPr>
            <w:r w:rsidRPr="001E536B">
              <w:t>British Columbia</w:t>
            </w:r>
          </w:p>
        </w:tc>
      </w:tr>
      <w:tr w:rsidR="00412DBD" w14:paraId="193C0919"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4F80BF69" w14:textId="77777777" w:rsidR="00412DBD" w:rsidRPr="00B145FF" w:rsidRDefault="00412DBD" w:rsidP="00412DBD">
            <w:pPr>
              <w:pStyle w:val="TableText"/>
              <w:jc w:val="center"/>
              <w:rPr>
                <w:sz w:val="2"/>
                <w:szCs w:val="2"/>
              </w:rPr>
            </w:pPr>
            <w:r>
              <w:rPr>
                <w:sz w:val="2"/>
                <w:szCs w:val="2"/>
              </w:rPr>
              <w:t>x</w:t>
            </w:r>
          </w:p>
        </w:tc>
      </w:tr>
      <w:tr w:rsidR="00412DBD" w14:paraId="2A0CD8C5" w14:textId="77777777" w:rsidTr="00412DBD">
        <w:trPr>
          <w:trHeight w:val="216"/>
        </w:trPr>
        <w:tc>
          <w:tcPr>
            <w:tcW w:w="4500" w:type="dxa"/>
            <w:tcBorders>
              <w:left w:val="single" w:sz="2" w:space="0" w:color="231F20"/>
              <w:right w:val="single" w:sz="2" w:space="0" w:color="231F20"/>
            </w:tcBorders>
            <w:shd w:val="clear" w:color="auto" w:fill="E6E7E8"/>
          </w:tcPr>
          <w:p w14:paraId="2F35B16A" w14:textId="77777777" w:rsidR="00412DBD" w:rsidRDefault="00412DBD" w:rsidP="00412DBD">
            <w:pPr>
              <w:pStyle w:val="TableText"/>
              <w:rPr>
                <w:color w:val="231F20"/>
                <w:sz w:val="14"/>
              </w:rPr>
            </w:pPr>
            <w:r w:rsidRPr="008751A5">
              <w:t xml:space="preserve">BMT South America </w:t>
            </w:r>
            <w:proofErr w:type="spellStart"/>
            <w:r w:rsidRPr="008751A5">
              <w:t>SpA</w:t>
            </w:r>
            <w:proofErr w:type="spellEnd"/>
          </w:p>
        </w:tc>
        <w:tc>
          <w:tcPr>
            <w:tcW w:w="1710" w:type="dxa"/>
            <w:vMerge w:val="restart"/>
            <w:tcBorders>
              <w:left w:val="single" w:sz="2" w:space="0" w:color="231F20"/>
              <w:right w:val="single" w:sz="2" w:space="0" w:color="231F20"/>
            </w:tcBorders>
            <w:shd w:val="clear" w:color="auto" w:fill="F9F9F9"/>
            <w:vAlign w:val="center"/>
          </w:tcPr>
          <w:p w14:paraId="39E4053A" w14:textId="77777777" w:rsidR="00412DBD" w:rsidRPr="001E536B" w:rsidRDefault="00412DBD" w:rsidP="00412DBD">
            <w:pPr>
              <w:pStyle w:val="TableText"/>
              <w:jc w:val="center"/>
            </w:pPr>
            <w:r w:rsidRPr="001E536B">
              <w:t>Chile</w:t>
            </w:r>
          </w:p>
        </w:tc>
        <w:tc>
          <w:tcPr>
            <w:tcW w:w="2790" w:type="dxa"/>
            <w:vMerge w:val="restart"/>
            <w:tcBorders>
              <w:left w:val="single" w:sz="2" w:space="0" w:color="231F20"/>
              <w:right w:val="single" w:sz="2" w:space="0" w:color="231F20"/>
            </w:tcBorders>
            <w:shd w:val="clear" w:color="auto" w:fill="F9F9F9"/>
            <w:vAlign w:val="center"/>
          </w:tcPr>
          <w:p w14:paraId="7BA9541D" w14:textId="77777777" w:rsidR="00412DBD" w:rsidRPr="001E536B" w:rsidRDefault="00412DBD" w:rsidP="00412DBD">
            <w:pPr>
              <w:pStyle w:val="TableText"/>
              <w:jc w:val="center"/>
            </w:pPr>
            <w:r w:rsidRPr="001E536B">
              <w:t>Santiago</w:t>
            </w:r>
          </w:p>
        </w:tc>
      </w:tr>
      <w:tr w:rsidR="00412DBD" w14:paraId="771099D8" w14:textId="77777777" w:rsidTr="00412DBD">
        <w:trPr>
          <w:trHeight w:val="180"/>
        </w:trPr>
        <w:tc>
          <w:tcPr>
            <w:tcW w:w="4500" w:type="dxa"/>
            <w:tcBorders>
              <w:left w:val="single" w:sz="2" w:space="0" w:color="231F20"/>
              <w:right w:val="single" w:sz="2" w:space="0" w:color="231F20"/>
            </w:tcBorders>
            <w:shd w:val="clear" w:color="auto" w:fill="FFFFFF" w:themeFill="text2"/>
          </w:tcPr>
          <w:p w14:paraId="49E4B756" w14:textId="77777777" w:rsidR="00412DBD" w:rsidRDefault="00412DBD" w:rsidP="00412DBD">
            <w:pPr>
              <w:pStyle w:val="TableText"/>
              <w:rPr>
                <w:color w:val="231F20"/>
                <w:sz w:val="14"/>
              </w:rPr>
            </w:pPr>
            <w:r w:rsidRPr="007758B9">
              <w:t xml:space="preserve">Hexagon Mining </w:t>
            </w:r>
            <w:proofErr w:type="spellStart"/>
            <w:r w:rsidRPr="007758B9">
              <w:t>Limitada</w:t>
            </w:r>
            <w:proofErr w:type="spellEnd"/>
          </w:p>
        </w:tc>
        <w:tc>
          <w:tcPr>
            <w:tcW w:w="1710" w:type="dxa"/>
            <w:vMerge/>
            <w:tcBorders>
              <w:left w:val="single" w:sz="2" w:space="0" w:color="231F20"/>
              <w:right w:val="single" w:sz="2" w:space="0" w:color="231F20"/>
            </w:tcBorders>
            <w:shd w:val="clear" w:color="auto" w:fill="F9F9F9"/>
            <w:vAlign w:val="center"/>
          </w:tcPr>
          <w:p w14:paraId="665A39CD"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2E686C54" w14:textId="77777777" w:rsidR="00412DBD" w:rsidRDefault="00412DBD" w:rsidP="00412DBD">
            <w:pPr>
              <w:pStyle w:val="TableText"/>
              <w:jc w:val="center"/>
              <w:rPr>
                <w:color w:val="231F20"/>
                <w:sz w:val="14"/>
              </w:rPr>
            </w:pPr>
          </w:p>
        </w:tc>
      </w:tr>
      <w:tr w:rsidR="00412DBD" w14:paraId="54403FBD" w14:textId="77777777" w:rsidTr="00412DBD">
        <w:trPr>
          <w:trHeight w:val="180"/>
        </w:trPr>
        <w:tc>
          <w:tcPr>
            <w:tcW w:w="4500" w:type="dxa"/>
            <w:tcBorders>
              <w:left w:val="single" w:sz="2" w:space="0" w:color="231F20"/>
              <w:right w:val="single" w:sz="2" w:space="0" w:color="231F20"/>
            </w:tcBorders>
            <w:shd w:val="clear" w:color="auto" w:fill="E6E7E8"/>
          </w:tcPr>
          <w:p w14:paraId="52EAF0AC" w14:textId="77777777" w:rsidR="00412DBD" w:rsidRDefault="00412DBD" w:rsidP="00412DBD">
            <w:pPr>
              <w:pStyle w:val="TableText"/>
              <w:rPr>
                <w:color w:val="231F20"/>
                <w:sz w:val="14"/>
              </w:rPr>
            </w:pPr>
            <w:r w:rsidRPr="007758B9">
              <w:t xml:space="preserve">Sistema </w:t>
            </w:r>
            <w:proofErr w:type="spellStart"/>
            <w:r w:rsidRPr="007758B9">
              <w:t>Minesight</w:t>
            </w:r>
            <w:proofErr w:type="spellEnd"/>
            <w:r w:rsidRPr="007758B9">
              <w:t xml:space="preserve"> Applications </w:t>
            </w:r>
            <w:proofErr w:type="spellStart"/>
            <w:r w:rsidRPr="007758B9">
              <w:t>Limitada</w:t>
            </w:r>
            <w:proofErr w:type="spellEnd"/>
          </w:p>
        </w:tc>
        <w:tc>
          <w:tcPr>
            <w:tcW w:w="1710" w:type="dxa"/>
            <w:vMerge/>
            <w:tcBorders>
              <w:left w:val="single" w:sz="2" w:space="0" w:color="231F20"/>
              <w:right w:val="single" w:sz="2" w:space="0" w:color="231F20"/>
            </w:tcBorders>
            <w:shd w:val="clear" w:color="auto" w:fill="F9F9F9"/>
            <w:vAlign w:val="center"/>
          </w:tcPr>
          <w:p w14:paraId="1A1FE468"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548A2F2A" w14:textId="77777777" w:rsidR="00412DBD" w:rsidRDefault="00412DBD" w:rsidP="00412DBD">
            <w:pPr>
              <w:pStyle w:val="TableText"/>
              <w:jc w:val="center"/>
              <w:rPr>
                <w:color w:val="231F20"/>
                <w:sz w:val="14"/>
              </w:rPr>
            </w:pPr>
          </w:p>
        </w:tc>
      </w:tr>
      <w:tr w:rsidR="00412DBD" w14:paraId="4B09F9BF" w14:textId="77777777" w:rsidTr="00412DBD">
        <w:trPr>
          <w:trHeight w:val="369"/>
        </w:trPr>
        <w:tc>
          <w:tcPr>
            <w:tcW w:w="4500" w:type="dxa"/>
            <w:tcBorders>
              <w:left w:val="single" w:sz="2" w:space="0" w:color="231F20"/>
              <w:right w:val="single" w:sz="2" w:space="0" w:color="231F20"/>
            </w:tcBorders>
            <w:shd w:val="clear" w:color="auto" w:fill="FFFFFF" w:themeFill="text1"/>
          </w:tcPr>
          <w:p w14:paraId="3FDA1B90" w14:textId="77777777" w:rsidR="00412DBD" w:rsidRDefault="00412DBD" w:rsidP="00412DBD">
            <w:pPr>
              <w:pStyle w:val="TableText"/>
              <w:rPr>
                <w:color w:val="231F20"/>
                <w:sz w:val="14"/>
              </w:rPr>
            </w:pPr>
            <w:r w:rsidRPr="008751A5">
              <w:t xml:space="preserve">Split Engineering Chile </w:t>
            </w:r>
            <w:proofErr w:type="spellStart"/>
            <w:r w:rsidRPr="008751A5">
              <w:t>Ltda</w:t>
            </w:r>
            <w:proofErr w:type="spellEnd"/>
          </w:p>
        </w:tc>
        <w:tc>
          <w:tcPr>
            <w:tcW w:w="1710" w:type="dxa"/>
            <w:vMerge/>
            <w:tcBorders>
              <w:left w:val="single" w:sz="2" w:space="0" w:color="231F20"/>
              <w:right w:val="single" w:sz="2" w:space="0" w:color="231F20"/>
            </w:tcBorders>
            <w:shd w:val="clear" w:color="auto" w:fill="F9F9F9"/>
            <w:vAlign w:val="center"/>
          </w:tcPr>
          <w:p w14:paraId="2D603E5A"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6044D0C5" w14:textId="77777777" w:rsidR="00412DBD" w:rsidRDefault="00412DBD" w:rsidP="00412DBD">
            <w:pPr>
              <w:pStyle w:val="TableText"/>
              <w:jc w:val="center"/>
              <w:rPr>
                <w:color w:val="231F20"/>
                <w:sz w:val="14"/>
              </w:rPr>
            </w:pPr>
          </w:p>
        </w:tc>
      </w:tr>
      <w:tr w:rsidR="00412DBD" w14:paraId="2EEE6271"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8BEE89B" w14:textId="77777777" w:rsidR="00412DBD" w:rsidRPr="00B145FF" w:rsidRDefault="00412DBD" w:rsidP="00412DBD">
            <w:pPr>
              <w:pStyle w:val="TableText"/>
              <w:jc w:val="center"/>
              <w:rPr>
                <w:color w:val="231F20"/>
                <w:sz w:val="2"/>
                <w:szCs w:val="2"/>
              </w:rPr>
            </w:pPr>
          </w:p>
        </w:tc>
      </w:tr>
      <w:tr w:rsidR="00412DBD" w14:paraId="2C877EB8" w14:textId="77777777" w:rsidTr="00412DBD">
        <w:trPr>
          <w:trHeight w:val="405"/>
        </w:trPr>
        <w:tc>
          <w:tcPr>
            <w:tcW w:w="4500" w:type="dxa"/>
            <w:tcBorders>
              <w:left w:val="single" w:sz="2" w:space="0" w:color="231F20"/>
              <w:right w:val="single" w:sz="2" w:space="0" w:color="231F20"/>
            </w:tcBorders>
            <w:shd w:val="clear" w:color="auto" w:fill="F9F9F9"/>
          </w:tcPr>
          <w:p w14:paraId="0A43649E" w14:textId="77777777" w:rsidR="00412DBD" w:rsidRDefault="00412DBD" w:rsidP="00412DBD">
            <w:pPr>
              <w:pStyle w:val="TableText"/>
              <w:rPr>
                <w:color w:val="231F20"/>
                <w:sz w:val="14"/>
              </w:rPr>
            </w:pPr>
            <w:r w:rsidRPr="007758B9">
              <w:t>Hexagon Mining Colombia S.A.S.</w:t>
            </w:r>
          </w:p>
        </w:tc>
        <w:tc>
          <w:tcPr>
            <w:tcW w:w="1710" w:type="dxa"/>
            <w:tcBorders>
              <w:left w:val="single" w:sz="2" w:space="0" w:color="231F20"/>
              <w:right w:val="single" w:sz="2" w:space="0" w:color="231F20"/>
            </w:tcBorders>
            <w:shd w:val="clear" w:color="auto" w:fill="F9F9F9"/>
            <w:vAlign w:val="center"/>
          </w:tcPr>
          <w:p w14:paraId="5677B386" w14:textId="77777777" w:rsidR="00412DBD" w:rsidRDefault="00412DBD" w:rsidP="00412DBD">
            <w:pPr>
              <w:pStyle w:val="TableText"/>
              <w:jc w:val="center"/>
              <w:rPr>
                <w:color w:val="231F20"/>
                <w:sz w:val="14"/>
              </w:rPr>
            </w:pPr>
            <w:r w:rsidRPr="007758B9">
              <w:t>Colombia</w:t>
            </w:r>
          </w:p>
        </w:tc>
        <w:tc>
          <w:tcPr>
            <w:tcW w:w="2790" w:type="dxa"/>
            <w:tcBorders>
              <w:left w:val="single" w:sz="2" w:space="0" w:color="231F20"/>
              <w:right w:val="single" w:sz="2" w:space="0" w:color="231F20"/>
            </w:tcBorders>
            <w:shd w:val="clear" w:color="auto" w:fill="F9F9F9"/>
            <w:vAlign w:val="center"/>
          </w:tcPr>
          <w:p w14:paraId="492F0960" w14:textId="77777777" w:rsidR="00412DBD" w:rsidRDefault="00412DBD" w:rsidP="00412DBD">
            <w:pPr>
              <w:pStyle w:val="TableText"/>
              <w:jc w:val="center"/>
              <w:rPr>
                <w:color w:val="231F20"/>
                <w:sz w:val="14"/>
              </w:rPr>
            </w:pPr>
            <w:r w:rsidRPr="007758B9">
              <w:t>Bogotá</w:t>
            </w:r>
          </w:p>
        </w:tc>
      </w:tr>
      <w:tr w:rsidR="00412DBD" w14:paraId="7685F4EE"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65152053" w14:textId="77777777" w:rsidR="00412DBD" w:rsidRPr="00B145FF" w:rsidRDefault="00412DBD" w:rsidP="00412DBD">
            <w:pPr>
              <w:pStyle w:val="TableText"/>
              <w:jc w:val="center"/>
              <w:rPr>
                <w:sz w:val="2"/>
                <w:szCs w:val="2"/>
              </w:rPr>
            </w:pPr>
          </w:p>
        </w:tc>
      </w:tr>
      <w:tr w:rsidR="00412DBD" w14:paraId="1B485CF1" w14:textId="77777777" w:rsidTr="00412DBD">
        <w:trPr>
          <w:trHeight w:val="171"/>
        </w:trPr>
        <w:tc>
          <w:tcPr>
            <w:tcW w:w="4500" w:type="dxa"/>
            <w:tcBorders>
              <w:left w:val="single" w:sz="2" w:space="0" w:color="231F20"/>
              <w:right w:val="single" w:sz="2" w:space="0" w:color="231F20"/>
            </w:tcBorders>
            <w:shd w:val="clear" w:color="auto" w:fill="E6E7E8"/>
          </w:tcPr>
          <w:p w14:paraId="0C123411" w14:textId="77777777" w:rsidR="00412DBD" w:rsidRDefault="00412DBD" w:rsidP="00412DBD">
            <w:pPr>
              <w:pStyle w:val="TableText"/>
              <w:rPr>
                <w:color w:val="231F20"/>
                <w:sz w:val="14"/>
              </w:rPr>
            </w:pPr>
            <w:r>
              <w:t>BMT Africa Pty Ltd. – Branch Ghana</w:t>
            </w:r>
          </w:p>
        </w:tc>
        <w:tc>
          <w:tcPr>
            <w:tcW w:w="1710" w:type="dxa"/>
            <w:vMerge w:val="restart"/>
            <w:tcBorders>
              <w:left w:val="single" w:sz="2" w:space="0" w:color="231F20"/>
              <w:right w:val="single" w:sz="2" w:space="0" w:color="231F20"/>
            </w:tcBorders>
            <w:shd w:val="clear" w:color="auto" w:fill="F9F9F9"/>
            <w:vAlign w:val="center"/>
          </w:tcPr>
          <w:p w14:paraId="31642F57" w14:textId="77777777" w:rsidR="00412DBD" w:rsidRDefault="00412DBD" w:rsidP="00412DBD">
            <w:pPr>
              <w:pStyle w:val="TableText"/>
              <w:jc w:val="center"/>
              <w:rPr>
                <w:color w:val="231F20"/>
                <w:sz w:val="14"/>
              </w:rPr>
            </w:pPr>
            <w:r>
              <w:t>Ghana</w:t>
            </w:r>
          </w:p>
        </w:tc>
        <w:tc>
          <w:tcPr>
            <w:tcW w:w="2790" w:type="dxa"/>
            <w:vMerge w:val="restart"/>
            <w:tcBorders>
              <w:left w:val="single" w:sz="2" w:space="0" w:color="231F20"/>
              <w:right w:val="single" w:sz="2" w:space="0" w:color="231F20"/>
            </w:tcBorders>
            <w:shd w:val="clear" w:color="auto" w:fill="F9F9F9"/>
            <w:vAlign w:val="center"/>
          </w:tcPr>
          <w:p w14:paraId="6B78FB2A" w14:textId="77777777" w:rsidR="00412DBD" w:rsidRDefault="00412DBD" w:rsidP="00412DBD">
            <w:pPr>
              <w:pStyle w:val="TableText"/>
              <w:jc w:val="center"/>
              <w:rPr>
                <w:color w:val="231F20"/>
                <w:sz w:val="14"/>
              </w:rPr>
            </w:pPr>
            <w:r>
              <w:t>Accra</w:t>
            </w:r>
          </w:p>
        </w:tc>
      </w:tr>
      <w:tr w:rsidR="00412DBD" w14:paraId="79469BD9" w14:textId="77777777" w:rsidTr="00412DBD">
        <w:trPr>
          <w:trHeight w:val="414"/>
        </w:trPr>
        <w:tc>
          <w:tcPr>
            <w:tcW w:w="4500" w:type="dxa"/>
            <w:tcBorders>
              <w:left w:val="single" w:sz="2" w:space="0" w:color="231F20"/>
              <w:right w:val="single" w:sz="2" w:space="0" w:color="231F20"/>
            </w:tcBorders>
            <w:shd w:val="clear" w:color="auto" w:fill="FFFFFF" w:themeFill="text2"/>
          </w:tcPr>
          <w:p w14:paraId="42224592" w14:textId="77777777" w:rsidR="00412DBD" w:rsidRDefault="00412DBD" w:rsidP="00412DBD">
            <w:pPr>
              <w:pStyle w:val="TableText"/>
              <w:rPr>
                <w:color w:val="231F20"/>
                <w:sz w:val="14"/>
              </w:rPr>
            </w:pPr>
            <w:proofErr w:type="spellStart"/>
            <w:r>
              <w:t>Guardvant</w:t>
            </w:r>
            <w:proofErr w:type="spellEnd"/>
            <w:r>
              <w:t xml:space="preserve"> Ghana Ltd</w:t>
            </w:r>
          </w:p>
        </w:tc>
        <w:tc>
          <w:tcPr>
            <w:tcW w:w="1710" w:type="dxa"/>
            <w:vMerge/>
            <w:tcBorders>
              <w:left w:val="single" w:sz="2" w:space="0" w:color="231F20"/>
              <w:right w:val="single" w:sz="2" w:space="0" w:color="231F20"/>
            </w:tcBorders>
            <w:shd w:val="clear" w:color="auto" w:fill="F9F9F9"/>
            <w:vAlign w:val="center"/>
          </w:tcPr>
          <w:p w14:paraId="37D3B879"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5058C9E8" w14:textId="77777777" w:rsidR="00412DBD" w:rsidRDefault="00412DBD" w:rsidP="00412DBD">
            <w:pPr>
              <w:pStyle w:val="TableText"/>
              <w:jc w:val="center"/>
              <w:rPr>
                <w:color w:val="231F20"/>
                <w:sz w:val="14"/>
              </w:rPr>
            </w:pPr>
          </w:p>
        </w:tc>
      </w:tr>
      <w:tr w:rsidR="00412DBD" w14:paraId="3B2B63E5"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24D5DA7B" w14:textId="77777777" w:rsidR="00412DBD" w:rsidRPr="00B145FF" w:rsidRDefault="00412DBD" w:rsidP="00412DBD">
            <w:pPr>
              <w:pStyle w:val="TableText"/>
              <w:jc w:val="center"/>
              <w:rPr>
                <w:sz w:val="2"/>
                <w:szCs w:val="2"/>
              </w:rPr>
            </w:pPr>
          </w:p>
        </w:tc>
      </w:tr>
      <w:tr w:rsidR="00412DBD" w14:paraId="3F212EA9" w14:textId="77777777" w:rsidTr="00412DBD">
        <w:trPr>
          <w:trHeight w:val="405"/>
        </w:trPr>
        <w:tc>
          <w:tcPr>
            <w:tcW w:w="4500" w:type="dxa"/>
            <w:tcBorders>
              <w:left w:val="single" w:sz="2" w:space="0" w:color="231F20"/>
              <w:right w:val="single" w:sz="2" w:space="0" w:color="231F20"/>
            </w:tcBorders>
            <w:shd w:val="clear" w:color="auto" w:fill="F9F9F9"/>
          </w:tcPr>
          <w:p w14:paraId="0AA41F69" w14:textId="77777777" w:rsidR="00412DBD" w:rsidRPr="001E536B" w:rsidRDefault="00412DBD" w:rsidP="00412DBD">
            <w:pPr>
              <w:pStyle w:val="TableText"/>
            </w:pPr>
            <w:r w:rsidRPr="001E536B">
              <w:t xml:space="preserve">IDS </w:t>
            </w:r>
            <w:proofErr w:type="spellStart"/>
            <w:r w:rsidRPr="001E536B">
              <w:t>Georadar</w:t>
            </w:r>
            <w:proofErr w:type="spellEnd"/>
            <w:r w:rsidRPr="001E536B">
              <w:t xml:space="preserve"> S.R.L.</w:t>
            </w:r>
          </w:p>
        </w:tc>
        <w:tc>
          <w:tcPr>
            <w:tcW w:w="1710" w:type="dxa"/>
            <w:tcBorders>
              <w:left w:val="single" w:sz="2" w:space="0" w:color="231F20"/>
              <w:right w:val="single" w:sz="2" w:space="0" w:color="231F20"/>
            </w:tcBorders>
            <w:shd w:val="clear" w:color="auto" w:fill="F9F9F9"/>
            <w:vAlign w:val="center"/>
          </w:tcPr>
          <w:p w14:paraId="5555C31B" w14:textId="77777777" w:rsidR="00412DBD" w:rsidRPr="001E536B" w:rsidRDefault="00412DBD" w:rsidP="00412DBD">
            <w:pPr>
              <w:pStyle w:val="TableText"/>
              <w:jc w:val="center"/>
            </w:pPr>
            <w:r w:rsidRPr="001E536B">
              <w:t>Italy</w:t>
            </w:r>
          </w:p>
        </w:tc>
        <w:tc>
          <w:tcPr>
            <w:tcW w:w="2790" w:type="dxa"/>
            <w:tcBorders>
              <w:left w:val="single" w:sz="2" w:space="0" w:color="231F20"/>
              <w:right w:val="single" w:sz="2" w:space="0" w:color="231F20"/>
            </w:tcBorders>
            <w:shd w:val="clear" w:color="auto" w:fill="F9F9F9"/>
            <w:vAlign w:val="center"/>
          </w:tcPr>
          <w:p w14:paraId="562AB2FB" w14:textId="77777777" w:rsidR="00412DBD" w:rsidRPr="001E536B" w:rsidRDefault="00412DBD" w:rsidP="00412DBD">
            <w:pPr>
              <w:pStyle w:val="TableText"/>
              <w:jc w:val="center"/>
            </w:pPr>
            <w:r w:rsidRPr="001E536B">
              <w:t>Pisa</w:t>
            </w:r>
          </w:p>
        </w:tc>
      </w:tr>
      <w:tr w:rsidR="00412DBD" w14:paraId="03C230B1"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7707DD50" w14:textId="77777777" w:rsidR="00412DBD" w:rsidRPr="00B145FF" w:rsidRDefault="00412DBD" w:rsidP="00412DBD">
            <w:pPr>
              <w:pStyle w:val="TableText"/>
              <w:jc w:val="center"/>
              <w:rPr>
                <w:sz w:val="2"/>
                <w:szCs w:val="2"/>
              </w:rPr>
            </w:pPr>
          </w:p>
        </w:tc>
      </w:tr>
      <w:tr w:rsidR="00412DBD" w14:paraId="350F0E25" w14:textId="77777777" w:rsidTr="00412DBD">
        <w:trPr>
          <w:trHeight w:val="171"/>
        </w:trPr>
        <w:tc>
          <w:tcPr>
            <w:tcW w:w="4500" w:type="dxa"/>
            <w:tcBorders>
              <w:left w:val="single" w:sz="2" w:space="0" w:color="231F20"/>
              <w:right w:val="single" w:sz="2" w:space="0" w:color="231F20"/>
            </w:tcBorders>
            <w:shd w:val="clear" w:color="auto" w:fill="E6E7E8"/>
          </w:tcPr>
          <w:p w14:paraId="4BD295B2" w14:textId="77777777" w:rsidR="00412DBD" w:rsidRPr="00B145FF" w:rsidRDefault="00412DBD" w:rsidP="00412DBD">
            <w:pPr>
              <w:pStyle w:val="TableText"/>
            </w:pPr>
            <w:proofErr w:type="spellStart"/>
            <w:r w:rsidRPr="00B145FF">
              <w:t>Guardvant</w:t>
            </w:r>
            <w:proofErr w:type="spellEnd"/>
            <w:r w:rsidRPr="00B145FF">
              <w:t xml:space="preserve"> Mexico S de RL de CV</w:t>
            </w:r>
          </w:p>
        </w:tc>
        <w:tc>
          <w:tcPr>
            <w:tcW w:w="1710" w:type="dxa"/>
            <w:vMerge w:val="restart"/>
            <w:tcBorders>
              <w:left w:val="single" w:sz="2" w:space="0" w:color="231F20"/>
              <w:right w:val="single" w:sz="2" w:space="0" w:color="231F20"/>
            </w:tcBorders>
            <w:shd w:val="clear" w:color="auto" w:fill="F9F9F9"/>
            <w:vAlign w:val="center"/>
          </w:tcPr>
          <w:p w14:paraId="68C5AB9F" w14:textId="77777777" w:rsidR="00412DBD" w:rsidRPr="00B145FF" w:rsidRDefault="00412DBD" w:rsidP="00412DBD">
            <w:pPr>
              <w:pStyle w:val="TableText"/>
              <w:jc w:val="center"/>
            </w:pPr>
            <w:r w:rsidRPr="00B145FF">
              <w:t>Mexico</w:t>
            </w:r>
          </w:p>
        </w:tc>
        <w:tc>
          <w:tcPr>
            <w:tcW w:w="2790" w:type="dxa"/>
            <w:tcBorders>
              <w:left w:val="single" w:sz="2" w:space="0" w:color="231F20"/>
              <w:right w:val="single" w:sz="2" w:space="0" w:color="231F20"/>
            </w:tcBorders>
            <w:shd w:val="clear" w:color="auto" w:fill="E6E7E8"/>
          </w:tcPr>
          <w:p w14:paraId="0255EA6D" w14:textId="77777777" w:rsidR="00412DBD" w:rsidRPr="00B145FF" w:rsidRDefault="00412DBD" w:rsidP="00412DBD">
            <w:pPr>
              <w:pStyle w:val="TableText"/>
              <w:jc w:val="center"/>
            </w:pPr>
            <w:r w:rsidRPr="00B145FF">
              <w:t xml:space="preserve">Santa </w:t>
            </w:r>
            <w:proofErr w:type="spellStart"/>
            <w:r w:rsidRPr="00B145FF">
              <w:t>Fé</w:t>
            </w:r>
            <w:proofErr w:type="spellEnd"/>
          </w:p>
        </w:tc>
      </w:tr>
      <w:tr w:rsidR="00412DBD" w14:paraId="012478C7" w14:textId="77777777" w:rsidTr="00412DBD">
        <w:trPr>
          <w:trHeight w:val="324"/>
        </w:trPr>
        <w:tc>
          <w:tcPr>
            <w:tcW w:w="4500" w:type="dxa"/>
            <w:tcBorders>
              <w:left w:val="single" w:sz="2" w:space="0" w:color="231F20"/>
              <w:right w:val="single" w:sz="2" w:space="0" w:color="231F20"/>
            </w:tcBorders>
            <w:shd w:val="clear" w:color="auto" w:fill="FFFFFF" w:themeFill="text2"/>
          </w:tcPr>
          <w:p w14:paraId="1D9E8447" w14:textId="77777777" w:rsidR="00412DBD" w:rsidRPr="00B145FF" w:rsidRDefault="00412DBD" w:rsidP="00412DBD">
            <w:pPr>
              <w:pStyle w:val="TableText"/>
            </w:pPr>
            <w:r w:rsidRPr="00B145FF">
              <w:t>Hexagon Mining Mexico</w:t>
            </w:r>
          </w:p>
        </w:tc>
        <w:tc>
          <w:tcPr>
            <w:tcW w:w="1710" w:type="dxa"/>
            <w:vMerge/>
            <w:tcBorders>
              <w:left w:val="single" w:sz="2" w:space="0" w:color="231F20"/>
              <w:right w:val="single" w:sz="2" w:space="0" w:color="231F20"/>
            </w:tcBorders>
            <w:shd w:val="clear" w:color="auto" w:fill="F9F9F9"/>
            <w:vAlign w:val="center"/>
          </w:tcPr>
          <w:p w14:paraId="6545524F" w14:textId="77777777" w:rsidR="00412DBD" w:rsidRPr="00B145FF" w:rsidRDefault="00412DBD" w:rsidP="00412DBD">
            <w:pPr>
              <w:pStyle w:val="TableText"/>
              <w:jc w:val="center"/>
            </w:pPr>
          </w:p>
        </w:tc>
        <w:tc>
          <w:tcPr>
            <w:tcW w:w="2790" w:type="dxa"/>
            <w:tcBorders>
              <w:left w:val="single" w:sz="2" w:space="0" w:color="231F20"/>
              <w:right w:val="single" w:sz="2" w:space="0" w:color="231F20"/>
            </w:tcBorders>
            <w:shd w:val="clear" w:color="auto" w:fill="FFFFFF" w:themeFill="text2"/>
          </w:tcPr>
          <w:p w14:paraId="2F739B95" w14:textId="77777777" w:rsidR="00412DBD" w:rsidRPr="00B145FF" w:rsidRDefault="00412DBD" w:rsidP="00412DBD">
            <w:pPr>
              <w:pStyle w:val="TableText"/>
              <w:jc w:val="center"/>
            </w:pPr>
            <w:r w:rsidRPr="00B145FF">
              <w:t>Hermosillo</w:t>
            </w:r>
          </w:p>
        </w:tc>
      </w:tr>
      <w:tr w:rsidR="00412DBD" w14:paraId="215E99B8" w14:textId="77777777" w:rsidTr="00412DBD">
        <w:trPr>
          <w:trHeight w:val="43"/>
        </w:trPr>
        <w:tc>
          <w:tcPr>
            <w:tcW w:w="9000" w:type="dxa"/>
            <w:gridSpan w:val="3"/>
            <w:tcBorders>
              <w:left w:val="single" w:sz="2" w:space="0" w:color="231F20"/>
              <w:right w:val="single" w:sz="2" w:space="0" w:color="231F20"/>
            </w:tcBorders>
            <w:shd w:val="clear" w:color="auto" w:fill="333333" w:themeFill="background1"/>
            <w:vAlign w:val="center"/>
          </w:tcPr>
          <w:p w14:paraId="6F3A0F01" w14:textId="77777777" w:rsidR="00412DBD" w:rsidRPr="00BC39E0" w:rsidRDefault="00412DBD" w:rsidP="00412DBD">
            <w:pPr>
              <w:pStyle w:val="TableText"/>
              <w:jc w:val="center"/>
              <w:rPr>
                <w:sz w:val="2"/>
                <w:szCs w:val="2"/>
              </w:rPr>
            </w:pPr>
            <w:r w:rsidRPr="00BC39E0">
              <w:rPr>
                <w:sz w:val="2"/>
                <w:szCs w:val="2"/>
              </w:rPr>
              <w:t>x</w:t>
            </w:r>
          </w:p>
        </w:tc>
      </w:tr>
      <w:tr w:rsidR="00412DBD" w14:paraId="0D6F433F" w14:textId="77777777" w:rsidTr="00412DBD">
        <w:trPr>
          <w:trHeight w:val="315"/>
        </w:trPr>
        <w:tc>
          <w:tcPr>
            <w:tcW w:w="4500" w:type="dxa"/>
            <w:tcBorders>
              <w:left w:val="single" w:sz="2" w:space="0" w:color="231F20"/>
              <w:right w:val="single" w:sz="2" w:space="0" w:color="231F20"/>
            </w:tcBorders>
            <w:shd w:val="clear" w:color="auto" w:fill="F9F9F9"/>
          </w:tcPr>
          <w:p w14:paraId="453BECB4" w14:textId="77777777" w:rsidR="00412DBD" w:rsidRPr="00B145FF" w:rsidRDefault="00412DBD" w:rsidP="00412DBD">
            <w:pPr>
              <w:pStyle w:val="TableText"/>
            </w:pPr>
            <w:r w:rsidRPr="00B145FF">
              <w:t>Leica Geosystems S.A.R.L.</w:t>
            </w:r>
          </w:p>
        </w:tc>
        <w:tc>
          <w:tcPr>
            <w:tcW w:w="1710" w:type="dxa"/>
            <w:tcBorders>
              <w:left w:val="single" w:sz="2" w:space="0" w:color="231F20"/>
              <w:right w:val="single" w:sz="2" w:space="0" w:color="231F20"/>
            </w:tcBorders>
            <w:shd w:val="clear" w:color="auto" w:fill="F9F9F9"/>
            <w:vAlign w:val="center"/>
          </w:tcPr>
          <w:p w14:paraId="26F48C76" w14:textId="77777777" w:rsidR="00412DBD" w:rsidRPr="00B145FF" w:rsidRDefault="00412DBD" w:rsidP="00412DBD">
            <w:pPr>
              <w:pStyle w:val="TableText"/>
              <w:jc w:val="center"/>
            </w:pPr>
            <w:r w:rsidRPr="00B145FF">
              <w:t>Morocco</w:t>
            </w:r>
          </w:p>
        </w:tc>
        <w:tc>
          <w:tcPr>
            <w:tcW w:w="2790" w:type="dxa"/>
            <w:tcBorders>
              <w:left w:val="single" w:sz="2" w:space="0" w:color="231F20"/>
              <w:right w:val="single" w:sz="2" w:space="0" w:color="231F20"/>
            </w:tcBorders>
            <w:shd w:val="clear" w:color="auto" w:fill="F9F9F9"/>
            <w:vAlign w:val="center"/>
          </w:tcPr>
          <w:p w14:paraId="0EBD40E5" w14:textId="77777777" w:rsidR="00412DBD" w:rsidRPr="00B145FF" w:rsidRDefault="00412DBD" w:rsidP="00412DBD">
            <w:pPr>
              <w:pStyle w:val="TableText"/>
              <w:jc w:val="center"/>
            </w:pPr>
            <w:r w:rsidRPr="00B145FF">
              <w:t>Morocco</w:t>
            </w:r>
          </w:p>
        </w:tc>
      </w:tr>
      <w:tr w:rsidR="00412DBD" w14:paraId="6B3EDA36"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00738841" w14:textId="77777777" w:rsidR="00412DBD" w:rsidRPr="00B145FF" w:rsidRDefault="00412DBD" w:rsidP="00412DBD">
            <w:pPr>
              <w:pStyle w:val="TableText"/>
              <w:jc w:val="center"/>
              <w:rPr>
                <w:sz w:val="2"/>
                <w:szCs w:val="2"/>
              </w:rPr>
            </w:pPr>
          </w:p>
        </w:tc>
      </w:tr>
      <w:tr w:rsidR="00412DBD" w14:paraId="766A870F" w14:textId="77777777" w:rsidTr="00412DBD">
        <w:trPr>
          <w:trHeight w:val="171"/>
        </w:trPr>
        <w:tc>
          <w:tcPr>
            <w:tcW w:w="4500" w:type="dxa"/>
            <w:tcBorders>
              <w:left w:val="single" w:sz="2" w:space="0" w:color="231F20"/>
              <w:right w:val="single" w:sz="2" w:space="0" w:color="231F20"/>
            </w:tcBorders>
            <w:shd w:val="clear" w:color="auto" w:fill="E6E7E8"/>
          </w:tcPr>
          <w:p w14:paraId="65463716" w14:textId="77777777" w:rsidR="00412DBD" w:rsidRPr="00B145FF" w:rsidRDefault="00412DBD" w:rsidP="00412DBD">
            <w:pPr>
              <w:pStyle w:val="TableText"/>
            </w:pPr>
            <w:proofErr w:type="spellStart"/>
            <w:r w:rsidRPr="00B145FF">
              <w:t>Guardvant</w:t>
            </w:r>
            <w:proofErr w:type="spellEnd"/>
            <w:r w:rsidRPr="00B145FF">
              <w:t xml:space="preserve"> S.A.C.</w:t>
            </w:r>
          </w:p>
        </w:tc>
        <w:tc>
          <w:tcPr>
            <w:tcW w:w="1710" w:type="dxa"/>
            <w:vMerge w:val="restart"/>
            <w:tcBorders>
              <w:left w:val="single" w:sz="2" w:space="0" w:color="231F20"/>
              <w:right w:val="single" w:sz="2" w:space="0" w:color="231F20"/>
            </w:tcBorders>
            <w:shd w:val="clear" w:color="auto" w:fill="F9F9F9"/>
            <w:vAlign w:val="center"/>
          </w:tcPr>
          <w:p w14:paraId="51BC3AE8" w14:textId="77777777" w:rsidR="00412DBD" w:rsidRPr="00B145FF" w:rsidRDefault="00412DBD" w:rsidP="00412DBD">
            <w:pPr>
              <w:pStyle w:val="TableText"/>
              <w:jc w:val="center"/>
            </w:pPr>
            <w:r w:rsidRPr="00B145FF">
              <w:t>Peru</w:t>
            </w:r>
          </w:p>
        </w:tc>
        <w:tc>
          <w:tcPr>
            <w:tcW w:w="2790" w:type="dxa"/>
            <w:vMerge w:val="restart"/>
            <w:tcBorders>
              <w:left w:val="single" w:sz="2" w:space="0" w:color="231F20"/>
              <w:right w:val="single" w:sz="2" w:space="0" w:color="231F20"/>
            </w:tcBorders>
            <w:shd w:val="clear" w:color="auto" w:fill="F9F9F9"/>
            <w:vAlign w:val="center"/>
          </w:tcPr>
          <w:p w14:paraId="3D2CB00C" w14:textId="77777777" w:rsidR="00412DBD" w:rsidRPr="00B145FF" w:rsidRDefault="00412DBD" w:rsidP="00412DBD">
            <w:pPr>
              <w:pStyle w:val="TableText"/>
              <w:jc w:val="center"/>
            </w:pPr>
            <w:r w:rsidRPr="00B145FF">
              <w:t>Lima</w:t>
            </w:r>
          </w:p>
        </w:tc>
      </w:tr>
      <w:tr w:rsidR="00412DBD" w14:paraId="1CC062AC" w14:textId="77777777" w:rsidTr="00412DBD">
        <w:trPr>
          <w:trHeight w:val="171"/>
        </w:trPr>
        <w:tc>
          <w:tcPr>
            <w:tcW w:w="4500" w:type="dxa"/>
            <w:tcBorders>
              <w:left w:val="single" w:sz="2" w:space="0" w:color="231F20"/>
              <w:right w:val="single" w:sz="2" w:space="0" w:color="231F20"/>
            </w:tcBorders>
            <w:shd w:val="clear" w:color="auto" w:fill="FFFFFF" w:themeFill="text2"/>
          </w:tcPr>
          <w:p w14:paraId="6FCC4E52" w14:textId="77777777" w:rsidR="00412DBD" w:rsidRPr="00B145FF" w:rsidRDefault="00412DBD" w:rsidP="00412DBD">
            <w:pPr>
              <w:pStyle w:val="TableText"/>
            </w:pPr>
            <w:r w:rsidRPr="00B145FF">
              <w:t>Hexagon Mining Perú S.A.C.</w:t>
            </w:r>
          </w:p>
        </w:tc>
        <w:tc>
          <w:tcPr>
            <w:tcW w:w="1710" w:type="dxa"/>
            <w:vMerge/>
            <w:tcBorders>
              <w:left w:val="single" w:sz="2" w:space="0" w:color="231F20"/>
              <w:right w:val="single" w:sz="2" w:space="0" w:color="231F20"/>
            </w:tcBorders>
            <w:shd w:val="clear" w:color="auto" w:fill="F9F9F9"/>
            <w:vAlign w:val="center"/>
          </w:tcPr>
          <w:p w14:paraId="0BE59402"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16BB9B7" w14:textId="77777777" w:rsidR="00412DBD" w:rsidRPr="00B145FF" w:rsidRDefault="00412DBD" w:rsidP="00412DBD">
            <w:pPr>
              <w:pStyle w:val="TableText"/>
              <w:jc w:val="center"/>
            </w:pPr>
          </w:p>
        </w:tc>
      </w:tr>
      <w:tr w:rsidR="00412DBD" w14:paraId="68DAB07F" w14:textId="77777777" w:rsidTr="00412DBD">
        <w:trPr>
          <w:trHeight w:val="162"/>
        </w:trPr>
        <w:tc>
          <w:tcPr>
            <w:tcW w:w="4500" w:type="dxa"/>
            <w:tcBorders>
              <w:left w:val="single" w:sz="2" w:space="0" w:color="231F20"/>
              <w:right w:val="single" w:sz="2" w:space="0" w:color="231F20"/>
            </w:tcBorders>
            <w:shd w:val="clear" w:color="auto" w:fill="E6E7E8"/>
          </w:tcPr>
          <w:p w14:paraId="1B961503" w14:textId="77777777" w:rsidR="00412DBD" w:rsidRPr="00B145FF" w:rsidRDefault="00412DBD" w:rsidP="00412DBD">
            <w:pPr>
              <w:pStyle w:val="TableText"/>
            </w:pPr>
            <w:r w:rsidRPr="00B145FF">
              <w:t>Leica Geosystems S.A.C.</w:t>
            </w:r>
          </w:p>
        </w:tc>
        <w:tc>
          <w:tcPr>
            <w:tcW w:w="1710" w:type="dxa"/>
            <w:vMerge/>
            <w:tcBorders>
              <w:left w:val="single" w:sz="2" w:space="0" w:color="231F20"/>
              <w:right w:val="single" w:sz="2" w:space="0" w:color="231F20"/>
            </w:tcBorders>
            <w:shd w:val="clear" w:color="auto" w:fill="F9F9F9"/>
            <w:vAlign w:val="center"/>
          </w:tcPr>
          <w:p w14:paraId="67B0DFBA"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783DDA5" w14:textId="77777777" w:rsidR="00412DBD" w:rsidRPr="00B145FF" w:rsidRDefault="00412DBD" w:rsidP="00412DBD">
            <w:pPr>
              <w:pStyle w:val="TableText"/>
              <w:jc w:val="center"/>
            </w:pPr>
          </w:p>
        </w:tc>
      </w:tr>
      <w:tr w:rsidR="00412DBD" w14:paraId="3985D2E7" w14:textId="77777777" w:rsidTr="00412DBD">
        <w:trPr>
          <w:trHeight w:val="306"/>
        </w:trPr>
        <w:tc>
          <w:tcPr>
            <w:tcW w:w="4500" w:type="dxa"/>
            <w:tcBorders>
              <w:left w:val="single" w:sz="2" w:space="0" w:color="231F20"/>
              <w:right w:val="single" w:sz="2" w:space="0" w:color="231F20"/>
            </w:tcBorders>
            <w:shd w:val="clear" w:color="auto" w:fill="FFFFFF" w:themeFill="text2"/>
          </w:tcPr>
          <w:p w14:paraId="28B1E2C3" w14:textId="77777777" w:rsidR="00412DBD" w:rsidRPr="00B145FF" w:rsidRDefault="00412DBD" w:rsidP="00412DBD">
            <w:pPr>
              <w:pStyle w:val="TableText"/>
            </w:pPr>
            <w:r w:rsidRPr="00B145FF">
              <w:t>Split Engineering Peru S.R.L.</w:t>
            </w:r>
          </w:p>
        </w:tc>
        <w:tc>
          <w:tcPr>
            <w:tcW w:w="1710" w:type="dxa"/>
            <w:vMerge/>
            <w:tcBorders>
              <w:left w:val="single" w:sz="2" w:space="0" w:color="231F20"/>
              <w:right w:val="single" w:sz="2" w:space="0" w:color="231F20"/>
            </w:tcBorders>
            <w:shd w:val="clear" w:color="auto" w:fill="F9F9F9"/>
            <w:vAlign w:val="center"/>
          </w:tcPr>
          <w:p w14:paraId="4B551886"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1A9AA3AD" w14:textId="77777777" w:rsidR="00412DBD" w:rsidRPr="00B145FF" w:rsidRDefault="00412DBD" w:rsidP="00412DBD">
            <w:pPr>
              <w:pStyle w:val="TableText"/>
              <w:jc w:val="center"/>
            </w:pPr>
          </w:p>
        </w:tc>
      </w:tr>
      <w:tr w:rsidR="00412DBD" w14:paraId="2B957C7F"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DF8C474" w14:textId="77777777" w:rsidR="00412DBD" w:rsidRPr="00B145FF" w:rsidRDefault="00412DBD" w:rsidP="00412DBD">
            <w:pPr>
              <w:pStyle w:val="TableText"/>
              <w:jc w:val="center"/>
              <w:rPr>
                <w:sz w:val="2"/>
                <w:szCs w:val="2"/>
              </w:rPr>
            </w:pPr>
          </w:p>
        </w:tc>
      </w:tr>
      <w:tr w:rsidR="00412DBD" w14:paraId="2D2F363D" w14:textId="77777777" w:rsidTr="00412DBD">
        <w:trPr>
          <w:trHeight w:val="153"/>
        </w:trPr>
        <w:tc>
          <w:tcPr>
            <w:tcW w:w="4500" w:type="dxa"/>
            <w:tcBorders>
              <w:left w:val="single" w:sz="2" w:space="0" w:color="231F20"/>
              <w:right w:val="single" w:sz="2" w:space="0" w:color="231F20"/>
            </w:tcBorders>
            <w:shd w:val="clear" w:color="auto" w:fill="E6E7E8"/>
          </w:tcPr>
          <w:p w14:paraId="20D5CC43" w14:textId="77777777" w:rsidR="00412DBD" w:rsidRPr="00B145FF" w:rsidRDefault="00412DBD" w:rsidP="00412DBD">
            <w:pPr>
              <w:pStyle w:val="TableText"/>
            </w:pPr>
            <w:proofErr w:type="spellStart"/>
            <w:r w:rsidRPr="00B145FF">
              <w:t>Guardvant</w:t>
            </w:r>
            <w:proofErr w:type="spellEnd"/>
            <w:r w:rsidRPr="00B145FF">
              <w:t xml:space="preserve"> Sub-Saharan Africa (Pty) Ltd</w:t>
            </w:r>
          </w:p>
        </w:tc>
        <w:tc>
          <w:tcPr>
            <w:tcW w:w="1710" w:type="dxa"/>
            <w:vMerge w:val="restart"/>
            <w:tcBorders>
              <w:left w:val="single" w:sz="2" w:space="0" w:color="231F20"/>
              <w:right w:val="single" w:sz="2" w:space="0" w:color="231F20"/>
            </w:tcBorders>
            <w:shd w:val="clear" w:color="auto" w:fill="F9F9F9"/>
            <w:vAlign w:val="center"/>
          </w:tcPr>
          <w:p w14:paraId="4509DBB0" w14:textId="77777777" w:rsidR="00412DBD" w:rsidRPr="00B145FF" w:rsidRDefault="00412DBD" w:rsidP="00412DBD">
            <w:pPr>
              <w:pStyle w:val="TableText"/>
              <w:jc w:val="center"/>
            </w:pPr>
            <w:r w:rsidRPr="00B145FF">
              <w:t>South Africa</w:t>
            </w:r>
          </w:p>
        </w:tc>
        <w:tc>
          <w:tcPr>
            <w:tcW w:w="2790" w:type="dxa"/>
            <w:vMerge w:val="restart"/>
            <w:tcBorders>
              <w:left w:val="single" w:sz="2" w:space="0" w:color="231F20"/>
              <w:bottom w:val="single" w:sz="2" w:space="0" w:color="231F20"/>
              <w:right w:val="single" w:sz="2" w:space="0" w:color="231F20"/>
            </w:tcBorders>
            <w:shd w:val="clear" w:color="auto" w:fill="F9F9F9"/>
            <w:vAlign w:val="center"/>
          </w:tcPr>
          <w:p w14:paraId="263DD55E" w14:textId="77777777" w:rsidR="00412DBD" w:rsidRPr="00B145FF" w:rsidRDefault="00412DBD" w:rsidP="00412DBD">
            <w:pPr>
              <w:pStyle w:val="TableText"/>
              <w:jc w:val="center"/>
            </w:pPr>
            <w:proofErr w:type="spellStart"/>
            <w:r w:rsidRPr="00B145FF">
              <w:t>Darrenwood</w:t>
            </w:r>
            <w:proofErr w:type="spellEnd"/>
          </w:p>
        </w:tc>
      </w:tr>
      <w:tr w:rsidR="00412DBD" w14:paraId="255EE185" w14:textId="77777777" w:rsidTr="00412DBD">
        <w:trPr>
          <w:trHeight w:val="153"/>
        </w:trPr>
        <w:tc>
          <w:tcPr>
            <w:tcW w:w="4500" w:type="dxa"/>
            <w:tcBorders>
              <w:left w:val="single" w:sz="2" w:space="0" w:color="231F20"/>
              <w:right w:val="single" w:sz="2" w:space="0" w:color="231F20"/>
            </w:tcBorders>
            <w:shd w:val="clear" w:color="auto" w:fill="FFFFFF" w:themeFill="text2"/>
          </w:tcPr>
          <w:p w14:paraId="074099C1" w14:textId="77777777" w:rsidR="00412DBD" w:rsidRPr="00B145FF" w:rsidRDefault="00412DBD" w:rsidP="00412DBD">
            <w:pPr>
              <w:pStyle w:val="TableText"/>
            </w:pPr>
            <w:r w:rsidRPr="00B145FF">
              <w:t>Leica Geosystems (Pty) Ltd.</w:t>
            </w:r>
          </w:p>
        </w:tc>
        <w:tc>
          <w:tcPr>
            <w:tcW w:w="1710" w:type="dxa"/>
            <w:vMerge/>
            <w:tcBorders>
              <w:left w:val="single" w:sz="2" w:space="0" w:color="231F20"/>
              <w:right w:val="single" w:sz="2" w:space="0" w:color="231F20"/>
            </w:tcBorders>
            <w:shd w:val="clear" w:color="auto" w:fill="F9F9F9"/>
            <w:vAlign w:val="center"/>
          </w:tcPr>
          <w:p w14:paraId="5457418D" w14:textId="77777777" w:rsidR="00412DBD" w:rsidRPr="00B145FF" w:rsidRDefault="00412DBD" w:rsidP="00412DBD">
            <w:pPr>
              <w:pStyle w:val="TableText"/>
              <w:jc w:val="center"/>
            </w:pPr>
          </w:p>
        </w:tc>
        <w:tc>
          <w:tcPr>
            <w:tcW w:w="2790" w:type="dxa"/>
            <w:vMerge/>
            <w:tcBorders>
              <w:left w:val="single" w:sz="2" w:space="0" w:color="231F20"/>
              <w:bottom w:val="single" w:sz="2" w:space="0" w:color="231F20"/>
              <w:right w:val="single" w:sz="2" w:space="0" w:color="231F20"/>
            </w:tcBorders>
            <w:shd w:val="clear" w:color="auto" w:fill="F9F9F9"/>
            <w:vAlign w:val="center"/>
          </w:tcPr>
          <w:p w14:paraId="327AA028" w14:textId="77777777" w:rsidR="00412DBD" w:rsidRPr="00B145FF" w:rsidRDefault="00412DBD" w:rsidP="00412DBD">
            <w:pPr>
              <w:pStyle w:val="TableText"/>
              <w:jc w:val="center"/>
            </w:pPr>
          </w:p>
        </w:tc>
      </w:tr>
      <w:tr w:rsidR="00412DBD" w14:paraId="168AB5B7" w14:textId="77777777" w:rsidTr="00412DBD">
        <w:trPr>
          <w:trHeight w:val="139"/>
        </w:trPr>
        <w:tc>
          <w:tcPr>
            <w:tcW w:w="4500" w:type="dxa"/>
            <w:tcBorders>
              <w:left w:val="single" w:sz="2" w:space="0" w:color="231F20"/>
              <w:right w:val="single" w:sz="2" w:space="0" w:color="231F20"/>
            </w:tcBorders>
            <w:shd w:val="clear" w:color="auto" w:fill="E6E7E8"/>
          </w:tcPr>
          <w:p w14:paraId="43FE6DA1" w14:textId="77777777" w:rsidR="00412DBD" w:rsidRPr="00B145FF" w:rsidRDefault="00412DBD" w:rsidP="00412DBD">
            <w:pPr>
              <w:pStyle w:val="TableText"/>
            </w:pPr>
            <w:proofErr w:type="spellStart"/>
            <w:r w:rsidRPr="00B145FF">
              <w:t>Minesight</w:t>
            </w:r>
            <w:proofErr w:type="spellEnd"/>
            <w:r w:rsidRPr="00B145FF">
              <w:t xml:space="preserve"> Applications Pty</w:t>
            </w:r>
          </w:p>
        </w:tc>
        <w:tc>
          <w:tcPr>
            <w:tcW w:w="1710" w:type="dxa"/>
            <w:vMerge/>
            <w:tcBorders>
              <w:left w:val="single" w:sz="2" w:space="0" w:color="231F20"/>
              <w:right w:val="single" w:sz="2" w:space="0" w:color="231F20"/>
            </w:tcBorders>
            <w:shd w:val="clear" w:color="auto" w:fill="F9F9F9"/>
            <w:vAlign w:val="center"/>
          </w:tcPr>
          <w:p w14:paraId="12C089D1" w14:textId="77777777" w:rsidR="00412DBD" w:rsidRPr="00B145FF" w:rsidRDefault="00412DBD" w:rsidP="00412DBD">
            <w:pPr>
              <w:pStyle w:val="TableText"/>
              <w:jc w:val="center"/>
            </w:pPr>
          </w:p>
        </w:tc>
        <w:tc>
          <w:tcPr>
            <w:tcW w:w="2790" w:type="dxa"/>
            <w:vMerge w:val="restart"/>
            <w:tcBorders>
              <w:top w:val="single" w:sz="2" w:space="0" w:color="231F20"/>
              <w:left w:val="single" w:sz="2" w:space="0" w:color="231F20"/>
              <w:right w:val="single" w:sz="2" w:space="0" w:color="231F20"/>
            </w:tcBorders>
            <w:shd w:val="clear" w:color="auto" w:fill="F9F9F9"/>
            <w:vAlign w:val="center"/>
          </w:tcPr>
          <w:p w14:paraId="7F73BF9C" w14:textId="77777777" w:rsidR="00412DBD" w:rsidRPr="00B145FF" w:rsidRDefault="00412DBD" w:rsidP="00412DBD">
            <w:pPr>
              <w:pStyle w:val="TableText"/>
              <w:jc w:val="center"/>
            </w:pPr>
            <w:r w:rsidRPr="00B145FF">
              <w:t>Johannesburg</w:t>
            </w:r>
          </w:p>
        </w:tc>
      </w:tr>
      <w:tr w:rsidR="00412DBD" w14:paraId="6A46F83C" w14:textId="77777777" w:rsidTr="00412DBD">
        <w:trPr>
          <w:trHeight w:val="306"/>
        </w:trPr>
        <w:tc>
          <w:tcPr>
            <w:tcW w:w="4500" w:type="dxa"/>
            <w:tcBorders>
              <w:left w:val="single" w:sz="2" w:space="0" w:color="231F20"/>
              <w:right w:val="single" w:sz="2" w:space="0" w:color="231F20"/>
            </w:tcBorders>
            <w:shd w:val="clear" w:color="auto" w:fill="FFFFFF" w:themeFill="text2"/>
          </w:tcPr>
          <w:p w14:paraId="6269F2A3" w14:textId="77777777" w:rsidR="00412DBD" w:rsidRPr="00B145FF" w:rsidRDefault="00412DBD" w:rsidP="00412DBD">
            <w:pPr>
              <w:pStyle w:val="TableText"/>
            </w:pPr>
            <w:r w:rsidRPr="00B145FF">
              <w:t>Split Engineering Africa (Pty) Ltd</w:t>
            </w:r>
          </w:p>
        </w:tc>
        <w:tc>
          <w:tcPr>
            <w:tcW w:w="1710" w:type="dxa"/>
            <w:vMerge/>
            <w:tcBorders>
              <w:left w:val="single" w:sz="2" w:space="0" w:color="231F20"/>
              <w:right w:val="single" w:sz="2" w:space="0" w:color="231F20"/>
            </w:tcBorders>
            <w:shd w:val="clear" w:color="auto" w:fill="F9F9F9"/>
            <w:vAlign w:val="center"/>
          </w:tcPr>
          <w:p w14:paraId="158E4A28"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EBFAC70" w14:textId="77777777" w:rsidR="00412DBD" w:rsidRPr="00B145FF" w:rsidRDefault="00412DBD" w:rsidP="00412DBD">
            <w:pPr>
              <w:pStyle w:val="TableText"/>
              <w:jc w:val="center"/>
            </w:pPr>
          </w:p>
        </w:tc>
      </w:tr>
      <w:tr w:rsidR="00412DBD" w14:paraId="1460D1BE" w14:textId="77777777" w:rsidTr="00412DBD">
        <w:trPr>
          <w:trHeight w:val="47"/>
        </w:trPr>
        <w:tc>
          <w:tcPr>
            <w:tcW w:w="9000" w:type="dxa"/>
            <w:gridSpan w:val="3"/>
            <w:tcBorders>
              <w:left w:val="single" w:sz="2" w:space="0" w:color="231F20"/>
              <w:right w:val="single" w:sz="2" w:space="0" w:color="231F20"/>
            </w:tcBorders>
            <w:shd w:val="clear" w:color="auto" w:fill="333333" w:themeFill="background1"/>
            <w:vAlign w:val="center"/>
          </w:tcPr>
          <w:p w14:paraId="3FAE14CD" w14:textId="77777777" w:rsidR="00412DBD" w:rsidRPr="00B145FF" w:rsidRDefault="00412DBD" w:rsidP="00412DBD">
            <w:pPr>
              <w:pStyle w:val="TableText"/>
              <w:jc w:val="center"/>
              <w:rPr>
                <w:sz w:val="2"/>
                <w:szCs w:val="2"/>
              </w:rPr>
            </w:pPr>
          </w:p>
        </w:tc>
      </w:tr>
      <w:tr w:rsidR="00412DBD" w14:paraId="174A2482" w14:textId="77777777" w:rsidTr="00412DBD">
        <w:trPr>
          <w:trHeight w:val="243"/>
        </w:trPr>
        <w:tc>
          <w:tcPr>
            <w:tcW w:w="4500" w:type="dxa"/>
            <w:tcBorders>
              <w:left w:val="single" w:sz="2" w:space="0" w:color="231F20"/>
              <w:right w:val="single" w:sz="2" w:space="0" w:color="231F20"/>
            </w:tcBorders>
            <w:shd w:val="clear" w:color="auto" w:fill="E6E7E8"/>
          </w:tcPr>
          <w:p w14:paraId="615B349F" w14:textId="77777777" w:rsidR="00412DBD" w:rsidRPr="00B145FF" w:rsidRDefault="00412DBD" w:rsidP="00412DBD">
            <w:pPr>
              <w:pStyle w:val="TableText"/>
            </w:pPr>
            <w:proofErr w:type="spellStart"/>
            <w:r w:rsidRPr="00B145FF">
              <w:t>Safemine</w:t>
            </w:r>
            <w:proofErr w:type="spellEnd"/>
            <w:r w:rsidRPr="00B145FF">
              <w:t xml:space="preserve"> AG</w:t>
            </w:r>
          </w:p>
        </w:tc>
        <w:tc>
          <w:tcPr>
            <w:tcW w:w="1710" w:type="dxa"/>
            <w:vMerge w:val="restart"/>
            <w:tcBorders>
              <w:left w:val="single" w:sz="2" w:space="0" w:color="231F20"/>
              <w:right w:val="single" w:sz="2" w:space="0" w:color="231F20"/>
            </w:tcBorders>
            <w:shd w:val="clear" w:color="auto" w:fill="F9F9F9"/>
            <w:vAlign w:val="center"/>
          </w:tcPr>
          <w:p w14:paraId="02FEA65C" w14:textId="77777777" w:rsidR="00412DBD" w:rsidRPr="00B145FF" w:rsidRDefault="00412DBD" w:rsidP="00412DBD">
            <w:pPr>
              <w:pStyle w:val="TableText"/>
              <w:jc w:val="center"/>
            </w:pPr>
            <w:r w:rsidRPr="00B145FF">
              <w:t>Switzerland</w:t>
            </w:r>
          </w:p>
        </w:tc>
        <w:tc>
          <w:tcPr>
            <w:tcW w:w="2790" w:type="dxa"/>
            <w:vMerge w:val="restart"/>
            <w:tcBorders>
              <w:left w:val="single" w:sz="2" w:space="0" w:color="231F20"/>
              <w:right w:val="single" w:sz="2" w:space="0" w:color="231F20"/>
            </w:tcBorders>
            <w:shd w:val="clear" w:color="auto" w:fill="F9F9F9"/>
            <w:vAlign w:val="center"/>
          </w:tcPr>
          <w:p w14:paraId="7E40CECA" w14:textId="77777777" w:rsidR="00412DBD" w:rsidRPr="00B145FF" w:rsidRDefault="00412DBD" w:rsidP="00412DBD">
            <w:pPr>
              <w:pStyle w:val="TableText"/>
              <w:jc w:val="center"/>
            </w:pPr>
            <w:r w:rsidRPr="00B145FF">
              <w:t>Zug</w:t>
            </w:r>
          </w:p>
        </w:tc>
      </w:tr>
      <w:tr w:rsidR="00412DBD" w14:paraId="4F42C985" w14:textId="77777777" w:rsidTr="00412DBD">
        <w:trPr>
          <w:trHeight w:val="342"/>
        </w:trPr>
        <w:tc>
          <w:tcPr>
            <w:tcW w:w="4500" w:type="dxa"/>
            <w:tcBorders>
              <w:left w:val="single" w:sz="2" w:space="0" w:color="231F20"/>
              <w:right w:val="single" w:sz="2" w:space="0" w:color="231F20"/>
            </w:tcBorders>
            <w:shd w:val="clear" w:color="auto" w:fill="FFFFFF" w:themeFill="text2"/>
          </w:tcPr>
          <w:p w14:paraId="126742DB" w14:textId="77777777" w:rsidR="00412DBD" w:rsidRPr="00B145FF" w:rsidRDefault="00412DBD" w:rsidP="00412DBD">
            <w:pPr>
              <w:pStyle w:val="TableText"/>
            </w:pPr>
            <w:r w:rsidRPr="00B145FF">
              <w:t>Leica Geosystems AG</w:t>
            </w:r>
          </w:p>
        </w:tc>
        <w:tc>
          <w:tcPr>
            <w:tcW w:w="1710" w:type="dxa"/>
            <w:vMerge/>
            <w:tcBorders>
              <w:left w:val="single" w:sz="2" w:space="0" w:color="231F20"/>
              <w:right w:val="single" w:sz="2" w:space="0" w:color="231F20"/>
            </w:tcBorders>
            <w:shd w:val="clear" w:color="auto" w:fill="F9F9F9"/>
            <w:vAlign w:val="center"/>
          </w:tcPr>
          <w:p w14:paraId="1E7C84CE"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29FFA3FC" w14:textId="77777777" w:rsidR="00412DBD" w:rsidRPr="00B145FF" w:rsidRDefault="00412DBD" w:rsidP="00412DBD">
            <w:pPr>
              <w:pStyle w:val="TableText"/>
              <w:jc w:val="center"/>
            </w:pPr>
          </w:p>
        </w:tc>
      </w:tr>
      <w:tr w:rsidR="00412DBD" w14:paraId="57156B75"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039DE63" w14:textId="77777777" w:rsidR="00412DBD" w:rsidRPr="00B145FF" w:rsidRDefault="00412DBD" w:rsidP="00412DBD">
            <w:pPr>
              <w:pStyle w:val="TableText"/>
              <w:jc w:val="center"/>
              <w:rPr>
                <w:sz w:val="2"/>
                <w:szCs w:val="2"/>
              </w:rPr>
            </w:pPr>
          </w:p>
        </w:tc>
      </w:tr>
      <w:tr w:rsidR="00412DBD" w14:paraId="3A9E1F56" w14:textId="77777777" w:rsidTr="00412DBD">
        <w:trPr>
          <w:trHeight w:val="324"/>
        </w:trPr>
        <w:tc>
          <w:tcPr>
            <w:tcW w:w="4500" w:type="dxa"/>
            <w:tcBorders>
              <w:left w:val="single" w:sz="2" w:space="0" w:color="231F20"/>
              <w:right w:val="single" w:sz="2" w:space="0" w:color="231F20"/>
            </w:tcBorders>
            <w:shd w:val="clear" w:color="auto" w:fill="F9F9F9"/>
          </w:tcPr>
          <w:p w14:paraId="6BC84C21" w14:textId="77777777" w:rsidR="00412DBD" w:rsidRPr="00B145FF" w:rsidRDefault="00412DBD" w:rsidP="00412DBD">
            <w:pPr>
              <w:pStyle w:val="TableText"/>
            </w:pPr>
            <w:r w:rsidRPr="00B145FF">
              <w:t>Leica Geosystems DMCC</w:t>
            </w:r>
          </w:p>
        </w:tc>
        <w:tc>
          <w:tcPr>
            <w:tcW w:w="1710" w:type="dxa"/>
            <w:tcBorders>
              <w:left w:val="single" w:sz="2" w:space="0" w:color="231F20"/>
              <w:right w:val="single" w:sz="2" w:space="0" w:color="231F20"/>
            </w:tcBorders>
            <w:shd w:val="clear" w:color="auto" w:fill="F9F9F9"/>
            <w:vAlign w:val="center"/>
          </w:tcPr>
          <w:p w14:paraId="7E1D8C04" w14:textId="77777777" w:rsidR="00412DBD" w:rsidRPr="00B145FF" w:rsidRDefault="00412DBD" w:rsidP="00412DBD">
            <w:pPr>
              <w:pStyle w:val="TableText"/>
              <w:jc w:val="center"/>
            </w:pPr>
            <w:r w:rsidRPr="00B145FF">
              <w:t>United Arab Emirates</w:t>
            </w:r>
          </w:p>
        </w:tc>
        <w:tc>
          <w:tcPr>
            <w:tcW w:w="2790" w:type="dxa"/>
            <w:tcBorders>
              <w:left w:val="single" w:sz="2" w:space="0" w:color="231F20"/>
              <w:right w:val="single" w:sz="2" w:space="0" w:color="231F20"/>
            </w:tcBorders>
            <w:shd w:val="clear" w:color="auto" w:fill="F9F9F9"/>
            <w:vAlign w:val="center"/>
          </w:tcPr>
          <w:p w14:paraId="4E91635F" w14:textId="77777777" w:rsidR="00412DBD" w:rsidRPr="00B145FF" w:rsidRDefault="00412DBD" w:rsidP="00412DBD">
            <w:pPr>
              <w:pStyle w:val="TableText"/>
              <w:jc w:val="center"/>
            </w:pPr>
            <w:r w:rsidRPr="00B145FF">
              <w:t>Dubai</w:t>
            </w:r>
          </w:p>
        </w:tc>
      </w:tr>
      <w:tr w:rsidR="00412DBD" w14:paraId="25F1C04D"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F24E854" w14:textId="77777777" w:rsidR="00412DBD" w:rsidRPr="00B145FF" w:rsidRDefault="00412DBD" w:rsidP="00412DBD">
            <w:pPr>
              <w:pStyle w:val="TableText"/>
              <w:jc w:val="center"/>
              <w:rPr>
                <w:sz w:val="2"/>
                <w:szCs w:val="2"/>
              </w:rPr>
            </w:pPr>
          </w:p>
        </w:tc>
      </w:tr>
      <w:tr w:rsidR="00412DBD" w14:paraId="5B519B1A" w14:textId="77777777" w:rsidTr="00412DBD">
        <w:trPr>
          <w:trHeight w:val="414"/>
        </w:trPr>
        <w:tc>
          <w:tcPr>
            <w:tcW w:w="4500" w:type="dxa"/>
            <w:tcBorders>
              <w:left w:val="single" w:sz="2" w:space="0" w:color="231F20"/>
              <w:right w:val="single" w:sz="2" w:space="0" w:color="231F20"/>
            </w:tcBorders>
            <w:shd w:val="clear" w:color="auto" w:fill="F9F9F9"/>
          </w:tcPr>
          <w:p w14:paraId="466AFF06" w14:textId="77777777" w:rsidR="00412DBD" w:rsidRPr="00B145FF" w:rsidRDefault="00412DBD" w:rsidP="00412DBD">
            <w:pPr>
              <w:pStyle w:val="TableText"/>
            </w:pPr>
            <w:proofErr w:type="spellStart"/>
            <w:r w:rsidRPr="00B145FF">
              <w:t>Minesight</w:t>
            </w:r>
            <w:proofErr w:type="spellEnd"/>
            <w:r w:rsidRPr="00B145FF">
              <w:t xml:space="preserve"> Applications London Limited</w:t>
            </w:r>
          </w:p>
        </w:tc>
        <w:tc>
          <w:tcPr>
            <w:tcW w:w="1710" w:type="dxa"/>
            <w:tcBorders>
              <w:left w:val="single" w:sz="2" w:space="0" w:color="231F20"/>
              <w:right w:val="single" w:sz="2" w:space="0" w:color="231F20"/>
            </w:tcBorders>
            <w:shd w:val="clear" w:color="auto" w:fill="F9F9F9"/>
            <w:vAlign w:val="center"/>
          </w:tcPr>
          <w:p w14:paraId="11C653BD" w14:textId="77777777" w:rsidR="00412DBD" w:rsidRPr="00B145FF" w:rsidRDefault="00412DBD" w:rsidP="00412DBD">
            <w:pPr>
              <w:pStyle w:val="TableText"/>
              <w:jc w:val="center"/>
            </w:pPr>
            <w:r w:rsidRPr="00B145FF">
              <w:t>United Kingdom</w:t>
            </w:r>
          </w:p>
        </w:tc>
        <w:tc>
          <w:tcPr>
            <w:tcW w:w="2790" w:type="dxa"/>
            <w:tcBorders>
              <w:left w:val="single" w:sz="2" w:space="0" w:color="231F20"/>
              <w:right w:val="single" w:sz="2" w:space="0" w:color="231F20"/>
            </w:tcBorders>
            <w:shd w:val="clear" w:color="auto" w:fill="F9F9F9"/>
            <w:vAlign w:val="center"/>
          </w:tcPr>
          <w:p w14:paraId="008722E0" w14:textId="77777777" w:rsidR="00412DBD" w:rsidRPr="00B145FF" w:rsidRDefault="00412DBD" w:rsidP="00412DBD">
            <w:pPr>
              <w:pStyle w:val="TableText"/>
              <w:jc w:val="center"/>
            </w:pPr>
            <w:r w:rsidRPr="00B145FF">
              <w:t>England and Wales</w:t>
            </w:r>
          </w:p>
        </w:tc>
      </w:tr>
      <w:tr w:rsidR="00412DBD" w14:paraId="081694F9"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64B82955" w14:textId="77777777" w:rsidR="00412DBD" w:rsidRPr="00B145FF" w:rsidRDefault="00412DBD" w:rsidP="00412DBD">
            <w:pPr>
              <w:pStyle w:val="TableText"/>
              <w:jc w:val="center"/>
              <w:rPr>
                <w:color w:val="231F20"/>
                <w:sz w:val="2"/>
                <w:szCs w:val="2"/>
              </w:rPr>
            </w:pPr>
          </w:p>
        </w:tc>
      </w:tr>
      <w:tr w:rsidR="00412DBD" w14:paraId="1331DB45" w14:textId="77777777" w:rsidTr="00412DBD">
        <w:trPr>
          <w:trHeight w:val="198"/>
        </w:trPr>
        <w:tc>
          <w:tcPr>
            <w:tcW w:w="4500" w:type="dxa"/>
            <w:tcBorders>
              <w:left w:val="single" w:sz="2" w:space="0" w:color="231F20"/>
              <w:right w:val="single" w:sz="2" w:space="0" w:color="231F20"/>
            </w:tcBorders>
            <w:shd w:val="clear" w:color="auto" w:fill="E6E7E8"/>
          </w:tcPr>
          <w:p w14:paraId="655DC7EE" w14:textId="77777777" w:rsidR="00412DBD" w:rsidRDefault="00412DBD" w:rsidP="00412DBD">
            <w:pPr>
              <w:pStyle w:val="TableText"/>
              <w:rPr>
                <w:color w:val="231F20"/>
                <w:sz w:val="14"/>
              </w:rPr>
            </w:pPr>
            <w:r w:rsidRPr="008D5FBC">
              <w:t>Blast Movement Technologies USA Inc.</w:t>
            </w:r>
          </w:p>
        </w:tc>
        <w:tc>
          <w:tcPr>
            <w:tcW w:w="1710" w:type="dxa"/>
            <w:vMerge w:val="restart"/>
            <w:tcBorders>
              <w:left w:val="single" w:sz="2" w:space="0" w:color="231F20"/>
              <w:right w:val="single" w:sz="2" w:space="0" w:color="231F20"/>
            </w:tcBorders>
            <w:shd w:val="clear" w:color="auto" w:fill="F9F9F9"/>
            <w:vAlign w:val="center"/>
          </w:tcPr>
          <w:p w14:paraId="59CBED7F" w14:textId="77777777" w:rsidR="00412DBD" w:rsidRDefault="00412DBD" w:rsidP="00412DBD">
            <w:pPr>
              <w:pStyle w:val="TableText"/>
              <w:jc w:val="center"/>
              <w:rPr>
                <w:color w:val="231F20"/>
                <w:sz w:val="14"/>
              </w:rPr>
            </w:pPr>
            <w:r w:rsidRPr="007758B9">
              <w:t>United States of America</w:t>
            </w:r>
          </w:p>
        </w:tc>
        <w:tc>
          <w:tcPr>
            <w:tcW w:w="2790" w:type="dxa"/>
            <w:tcBorders>
              <w:left w:val="single" w:sz="2" w:space="0" w:color="231F20"/>
              <w:right w:val="single" w:sz="2" w:space="0" w:color="231F20"/>
            </w:tcBorders>
            <w:shd w:val="clear" w:color="auto" w:fill="E6E7E8"/>
          </w:tcPr>
          <w:p w14:paraId="7F62FA86" w14:textId="77777777" w:rsidR="00412DBD" w:rsidRDefault="00412DBD" w:rsidP="00412DBD">
            <w:pPr>
              <w:pStyle w:val="TableText"/>
              <w:jc w:val="center"/>
              <w:rPr>
                <w:color w:val="231F20"/>
                <w:sz w:val="14"/>
              </w:rPr>
            </w:pPr>
            <w:r>
              <w:t>Arvada, CO</w:t>
            </w:r>
          </w:p>
        </w:tc>
      </w:tr>
      <w:tr w:rsidR="00412DBD" w14:paraId="59DA14C0" w14:textId="77777777" w:rsidTr="00412DBD">
        <w:trPr>
          <w:trHeight w:val="180"/>
        </w:trPr>
        <w:tc>
          <w:tcPr>
            <w:tcW w:w="4500" w:type="dxa"/>
            <w:tcBorders>
              <w:left w:val="single" w:sz="2" w:space="0" w:color="231F20"/>
              <w:right w:val="single" w:sz="2" w:space="0" w:color="231F20"/>
            </w:tcBorders>
            <w:shd w:val="clear" w:color="auto" w:fill="FFFFFF" w:themeFill="text2"/>
          </w:tcPr>
          <w:p w14:paraId="7AB5B1D1" w14:textId="77777777" w:rsidR="00412DBD" w:rsidRDefault="00412DBD" w:rsidP="00412DBD">
            <w:pPr>
              <w:pStyle w:val="TableText"/>
              <w:rPr>
                <w:color w:val="231F20"/>
                <w:sz w:val="14"/>
              </w:rPr>
            </w:pPr>
            <w:proofErr w:type="spellStart"/>
            <w:r>
              <w:t>Guardvant</w:t>
            </w:r>
            <w:proofErr w:type="spellEnd"/>
            <w:r>
              <w:t>, Inc.</w:t>
            </w:r>
          </w:p>
        </w:tc>
        <w:tc>
          <w:tcPr>
            <w:tcW w:w="1710" w:type="dxa"/>
            <w:vMerge/>
            <w:tcBorders>
              <w:left w:val="single" w:sz="2" w:space="0" w:color="231F20"/>
              <w:right w:val="single" w:sz="2" w:space="0" w:color="231F20"/>
            </w:tcBorders>
            <w:shd w:val="clear" w:color="auto" w:fill="F9F9F9"/>
          </w:tcPr>
          <w:p w14:paraId="27739145" w14:textId="77777777" w:rsidR="00412DBD" w:rsidRDefault="00412DBD" w:rsidP="00412DBD">
            <w:pPr>
              <w:pStyle w:val="TableText"/>
              <w:rPr>
                <w:color w:val="231F20"/>
                <w:sz w:val="14"/>
              </w:rPr>
            </w:pPr>
          </w:p>
        </w:tc>
        <w:tc>
          <w:tcPr>
            <w:tcW w:w="2790" w:type="dxa"/>
            <w:vMerge w:val="restart"/>
            <w:tcBorders>
              <w:left w:val="single" w:sz="2" w:space="0" w:color="231F20"/>
              <w:right w:val="single" w:sz="2" w:space="0" w:color="231F20"/>
            </w:tcBorders>
            <w:shd w:val="clear" w:color="auto" w:fill="FFFFFF" w:themeFill="text2"/>
            <w:vAlign w:val="center"/>
          </w:tcPr>
          <w:p w14:paraId="1798BEBD" w14:textId="77777777" w:rsidR="00412DBD" w:rsidRDefault="00412DBD" w:rsidP="00412DBD">
            <w:pPr>
              <w:pStyle w:val="TableText"/>
              <w:jc w:val="center"/>
              <w:rPr>
                <w:color w:val="231F20"/>
                <w:sz w:val="14"/>
              </w:rPr>
            </w:pPr>
            <w:r>
              <w:t xml:space="preserve">Tucson, </w:t>
            </w:r>
            <w:r w:rsidRPr="007758B9">
              <w:t>A</w:t>
            </w:r>
            <w:r>
              <w:t>Z</w:t>
            </w:r>
          </w:p>
        </w:tc>
      </w:tr>
      <w:tr w:rsidR="00412DBD" w14:paraId="0E5B0BB6" w14:textId="77777777" w:rsidTr="00412DBD">
        <w:trPr>
          <w:trHeight w:val="198"/>
        </w:trPr>
        <w:tc>
          <w:tcPr>
            <w:tcW w:w="4500" w:type="dxa"/>
            <w:tcBorders>
              <w:left w:val="single" w:sz="2" w:space="0" w:color="231F20"/>
              <w:bottom w:val="single" w:sz="2" w:space="0" w:color="231F20"/>
              <w:right w:val="single" w:sz="2" w:space="0" w:color="231F20"/>
            </w:tcBorders>
            <w:shd w:val="clear" w:color="auto" w:fill="F9F9F9"/>
          </w:tcPr>
          <w:p w14:paraId="1E5AFD84" w14:textId="77777777" w:rsidR="00412DBD" w:rsidRDefault="00412DBD" w:rsidP="00412DBD">
            <w:pPr>
              <w:pStyle w:val="TableText"/>
              <w:rPr>
                <w:color w:val="231F20"/>
                <w:sz w:val="14"/>
              </w:rPr>
            </w:pPr>
            <w:r w:rsidRPr="007758B9">
              <w:t>Hexagon Mining Inc.</w:t>
            </w:r>
          </w:p>
        </w:tc>
        <w:tc>
          <w:tcPr>
            <w:tcW w:w="1710" w:type="dxa"/>
            <w:vMerge/>
            <w:tcBorders>
              <w:left w:val="single" w:sz="2" w:space="0" w:color="231F20"/>
              <w:bottom w:val="single" w:sz="2" w:space="0" w:color="231F20"/>
              <w:right w:val="single" w:sz="2" w:space="0" w:color="231F20"/>
            </w:tcBorders>
            <w:shd w:val="clear" w:color="auto" w:fill="F9F9F9"/>
          </w:tcPr>
          <w:p w14:paraId="23BC7CC8" w14:textId="77777777" w:rsidR="00412DBD" w:rsidRDefault="00412DBD" w:rsidP="00412DBD">
            <w:pPr>
              <w:pStyle w:val="TableText"/>
              <w:rPr>
                <w:color w:val="231F20"/>
                <w:sz w:val="14"/>
              </w:rPr>
            </w:pPr>
          </w:p>
        </w:tc>
        <w:tc>
          <w:tcPr>
            <w:tcW w:w="2790" w:type="dxa"/>
            <w:vMerge/>
            <w:tcBorders>
              <w:left w:val="single" w:sz="2" w:space="0" w:color="231F20"/>
              <w:bottom w:val="single" w:sz="2" w:space="0" w:color="231F20"/>
              <w:right w:val="single" w:sz="2" w:space="0" w:color="231F20"/>
            </w:tcBorders>
            <w:shd w:val="clear" w:color="auto" w:fill="E6E7E8"/>
          </w:tcPr>
          <w:p w14:paraId="110BD79B" w14:textId="77777777" w:rsidR="00412DBD" w:rsidRDefault="00412DBD" w:rsidP="00412DBD">
            <w:pPr>
              <w:pStyle w:val="TableText"/>
              <w:rPr>
                <w:color w:val="231F20"/>
                <w:sz w:val="14"/>
              </w:rPr>
            </w:pPr>
          </w:p>
        </w:tc>
      </w:tr>
    </w:tbl>
    <w:p w14:paraId="5BF8B2D7" w14:textId="3E0BD9D9" w:rsidR="00ED2EDA" w:rsidRDefault="00ED2EDA" w:rsidP="00ED2EDA">
      <w:pPr>
        <w:jc w:val="both"/>
        <w:rPr>
          <w:rFonts w:cs="Arial"/>
          <w:szCs w:val="20"/>
        </w:rPr>
      </w:pPr>
    </w:p>
    <w:p w14:paraId="292AFABD" w14:textId="77777777" w:rsidR="004C1F9C" w:rsidRPr="004C1F9C" w:rsidRDefault="004C1F9C" w:rsidP="004C1F9C">
      <w:pPr>
        <w:pStyle w:val="ListParagraph"/>
        <w:ind w:left="0"/>
        <w:jc w:val="both"/>
        <w:rPr>
          <w:rFonts w:ascii="Arial" w:hAnsi="Arial" w:cs="Arial"/>
          <w:sz w:val="20"/>
          <w:szCs w:val="20"/>
          <w:lang w:val="es-CL"/>
        </w:rPr>
      </w:pPr>
      <w:r w:rsidRPr="004C1F9C">
        <w:rPr>
          <w:rFonts w:ascii="Arial" w:hAnsi="Arial" w:cs="Arial"/>
          <w:b/>
          <w:sz w:val="20"/>
          <w:szCs w:val="20"/>
          <w:lang w:val="es-CL"/>
        </w:rPr>
        <w:t>12</w:t>
      </w:r>
      <w:r w:rsidRPr="004C1F9C">
        <w:rPr>
          <w:rFonts w:ascii="Arial" w:hAnsi="Arial" w:cs="Arial"/>
          <w:sz w:val="20"/>
          <w:szCs w:val="20"/>
          <w:lang w:val="es-CL"/>
        </w:rPr>
        <w:t xml:space="preserve">. </w:t>
      </w:r>
      <w:r w:rsidRPr="004C1F9C">
        <w:rPr>
          <w:rFonts w:ascii="Arial" w:hAnsi="Arial" w:cs="Arial"/>
          <w:b/>
          <w:bCs/>
          <w:sz w:val="20"/>
          <w:szCs w:val="20"/>
          <w:u w:val="single"/>
          <w:lang w:val="es-CL"/>
        </w:rPr>
        <w:t>Resolución de Conflictos</w:t>
      </w:r>
      <w:r w:rsidRPr="004C1F9C">
        <w:rPr>
          <w:rFonts w:ascii="Arial" w:hAnsi="Arial" w:cs="Arial"/>
          <w:sz w:val="20"/>
          <w:szCs w:val="20"/>
          <w:lang w:val="es-CL"/>
        </w:rPr>
        <w:t>. Si algún conflicto entre las partes surge de este Contrato, las partes acuerdan lo siguiente:</w:t>
      </w:r>
    </w:p>
    <w:p w14:paraId="70E1F5A8" w14:textId="77777777" w:rsidR="004C1F9C" w:rsidRPr="004C1F9C" w:rsidRDefault="004C1F9C" w:rsidP="004C1F9C">
      <w:pPr>
        <w:pStyle w:val="ListParagraph"/>
        <w:ind w:left="0"/>
        <w:jc w:val="both"/>
        <w:rPr>
          <w:rFonts w:ascii="Arial" w:hAnsi="Arial" w:cs="Arial"/>
          <w:sz w:val="20"/>
          <w:szCs w:val="20"/>
          <w:lang w:val="es-CL"/>
        </w:rPr>
      </w:pPr>
    </w:p>
    <w:p w14:paraId="279A156F" w14:textId="77777777" w:rsidR="004C1F9C" w:rsidRPr="004C1F9C" w:rsidRDefault="004C1F9C" w:rsidP="004C1F9C">
      <w:pPr>
        <w:pStyle w:val="ListParagraph"/>
        <w:ind w:hanging="436"/>
        <w:jc w:val="both"/>
        <w:rPr>
          <w:rFonts w:ascii="Arial" w:hAnsi="Arial" w:cs="Arial"/>
          <w:sz w:val="20"/>
          <w:szCs w:val="20"/>
          <w:lang w:val="es-CL"/>
        </w:rPr>
      </w:pPr>
      <w:r w:rsidRPr="004C1F9C">
        <w:rPr>
          <w:rFonts w:ascii="Arial" w:hAnsi="Arial" w:cs="Arial"/>
          <w:sz w:val="20"/>
          <w:szCs w:val="20"/>
          <w:lang w:val="es-CL"/>
        </w:rPr>
        <w:lastRenderedPageBreak/>
        <w:t>12.1. A excepción de los procedimientos que buscan una reparación interlocutoria o cautelar, antes de comenzar los procedimientos formales de un tribunal o de arbitraje en virtud del presente, las partes acuerdan intentar primero de buena fe resolver dicho conflicto a través de una negociación amistosa mutua. La parte perjudicada acuerda contactar a la otra parte por escrito y concederle un plazo razonable, no inferior a treinta (30) días, para que las partes negocien una resolución. Ambas partes acuerdan nombrar gerentes o altos funcionarios, según corresponda, para facilitar la resolución.</w:t>
      </w:r>
    </w:p>
    <w:p w14:paraId="5D351046" w14:textId="77777777" w:rsidR="004C1F9C" w:rsidRPr="004C1F9C" w:rsidRDefault="004C1F9C" w:rsidP="004C1F9C">
      <w:pPr>
        <w:pStyle w:val="ListParagraph"/>
        <w:ind w:hanging="436"/>
        <w:jc w:val="both"/>
        <w:rPr>
          <w:rFonts w:ascii="Arial" w:hAnsi="Arial" w:cs="Arial"/>
          <w:sz w:val="20"/>
          <w:szCs w:val="20"/>
          <w:lang w:val="es-CL"/>
        </w:rPr>
      </w:pPr>
    </w:p>
    <w:p w14:paraId="57BE3C2C" w14:textId="77777777" w:rsidR="004C1F9C" w:rsidRPr="004C1F9C" w:rsidRDefault="004C1F9C" w:rsidP="004C1F9C">
      <w:pPr>
        <w:pStyle w:val="ListParagraph"/>
        <w:ind w:hanging="436"/>
        <w:jc w:val="both"/>
        <w:rPr>
          <w:rFonts w:ascii="Arial" w:hAnsi="Arial" w:cs="Arial"/>
          <w:sz w:val="20"/>
          <w:szCs w:val="20"/>
          <w:lang w:val="es-CL"/>
        </w:rPr>
      </w:pPr>
      <w:r w:rsidRPr="004C1F9C">
        <w:rPr>
          <w:rFonts w:ascii="Arial" w:hAnsi="Arial" w:cs="Arial"/>
          <w:sz w:val="20"/>
          <w:szCs w:val="20"/>
          <w:lang w:val="es-CL"/>
        </w:rPr>
        <w:t>12.2. Si las partes no pueden resolver la disputa a través de la negociación o si una de las partes busca una reparación interlocutoria o cautelar, cualquiera de las partes puede iniciar los procedimientos siguientes:</w:t>
      </w:r>
    </w:p>
    <w:p w14:paraId="38174FA8" w14:textId="77777777" w:rsidR="004C1F9C" w:rsidRPr="004C1F9C" w:rsidRDefault="004C1F9C" w:rsidP="004C1F9C">
      <w:pPr>
        <w:ind w:left="720" w:hanging="436"/>
        <w:jc w:val="both"/>
        <w:rPr>
          <w:rFonts w:cs="Arial"/>
          <w:color w:val="auto"/>
          <w:szCs w:val="20"/>
          <w:lang w:val="es-CL"/>
        </w:rPr>
      </w:pPr>
    </w:p>
    <w:p w14:paraId="7157BA8B"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 xml:space="preserve">(A) </w:t>
      </w:r>
      <w:r w:rsidRPr="004C1F9C">
        <w:rPr>
          <w:rFonts w:cs="Arial"/>
          <w:color w:val="auto"/>
          <w:szCs w:val="20"/>
          <w:lang w:val="es-CL"/>
        </w:rPr>
        <w:tab/>
        <w:t>Para cualquier Cliente ubicado en los Estados Unidos, las partes acuerdan la jurisdicción exclusiva y el lugar en los tribunales estatales y federales que tienen jurisdicción en Tucson, Arizona. La parte ganadora tiene derecho a cobrar a la otra parte las tarifas razonables de sus abogados y los costos asociados con el procedimiento.</w:t>
      </w:r>
    </w:p>
    <w:p w14:paraId="4D9C5085" w14:textId="77777777" w:rsidR="004C1F9C" w:rsidRPr="004C1F9C" w:rsidRDefault="004C1F9C" w:rsidP="004C1F9C">
      <w:pPr>
        <w:ind w:left="1134" w:hanging="425"/>
        <w:jc w:val="both"/>
        <w:rPr>
          <w:rFonts w:cs="Arial"/>
          <w:color w:val="auto"/>
          <w:szCs w:val="20"/>
          <w:lang w:val="es-CL"/>
        </w:rPr>
      </w:pPr>
    </w:p>
    <w:p w14:paraId="00C9D90F" w14:textId="77777777" w:rsidR="004C1F9C" w:rsidRPr="004C1F9C" w:rsidRDefault="004C1F9C" w:rsidP="004C1F9C">
      <w:pPr>
        <w:ind w:left="1134" w:hanging="425"/>
        <w:jc w:val="both"/>
        <w:rPr>
          <w:rFonts w:cs="Arial"/>
          <w:color w:val="auto"/>
          <w:szCs w:val="20"/>
          <w:lang w:val="es-CL"/>
        </w:rPr>
      </w:pPr>
      <w:r w:rsidRPr="004C1F9C">
        <w:rPr>
          <w:rFonts w:cs="Arial"/>
          <w:color w:val="auto"/>
          <w:szCs w:val="20"/>
          <w:lang w:val="es-CL"/>
        </w:rPr>
        <w:t xml:space="preserve">(B) </w:t>
      </w:r>
      <w:r w:rsidRPr="004C1F9C">
        <w:rPr>
          <w:rFonts w:cs="Arial"/>
          <w:color w:val="auto"/>
          <w:szCs w:val="20"/>
          <w:lang w:val="es-CL"/>
        </w:rPr>
        <w:tab/>
        <w:t>Para cualquier Cliente ubicado fuera de los Estados Unidos, las partes acuerdan iniciar procedimientos de arbitraje en la jurisdicción establecida en el cuadro anterior (Cláusula 11). Cada parte asumirá sus propios costos en dichos procedimientos de arbitraje, con la excepción de las tarifas y gastos de los árbitros, que se repartirán de manera igual entre las partes. Todos los aspectos del arbitraje se tratarán de forma confidencial. Antes de cualquier divulgación, la parte que solicita la divulgación obtendrá una notificación por escrito de la otra parte y le dará a dicha otra parte la oportunidad de proteger sus intereses. Cualquier tribunal que tenga jurisdicción puede emitir un fallo sobre un laudo arbitral.</w:t>
      </w:r>
    </w:p>
    <w:p w14:paraId="5A98C6A6" w14:textId="77777777" w:rsidR="004C1F9C" w:rsidRPr="004C1F9C" w:rsidRDefault="004C1F9C" w:rsidP="004C1F9C">
      <w:pPr>
        <w:jc w:val="both"/>
        <w:rPr>
          <w:rFonts w:cs="Arial"/>
          <w:color w:val="auto"/>
          <w:szCs w:val="20"/>
          <w:lang w:val="es-CL"/>
        </w:rPr>
      </w:pPr>
    </w:p>
    <w:p w14:paraId="3209C2F8" w14:textId="77777777" w:rsidR="004C1F9C" w:rsidRPr="004C1F9C" w:rsidRDefault="004C1F9C" w:rsidP="004C1F9C">
      <w:pPr>
        <w:jc w:val="both"/>
        <w:rPr>
          <w:rFonts w:cs="Arial"/>
          <w:color w:val="auto"/>
          <w:szCs w:val="20"/>
          <w:lang w:val="es-CL"/>
        </w:rPr>
      </w:pPr>
      <w:r w:rsidRPr="004C1F9C">
        <w:rPr>
          <w:rFonts w:cs="Arial"/>
          <w:b/>
          <w:color w:val="auto"/>
          <w:szCs w:val="20"/>
          <w:lang w:val="es-CL"/>
        </w:rPr>
        <w:t>13</w:t>
      </w:r>
      <w:r w:rsidRPr="004C1F9C">
        <w:rPr>
          <w:rFonts w:cs="Arial"/>
          <w:color w:val="auto"/>
          <w:szCs w:val="20"/>
          <w:lang w:val="es-CL"/>
        </w:rPr>
        <w:t xml:space="preserve">. </w:t>
      </w:r>
      <w:r w:rsidRPr="004C1F9C">
        <w:rPr>
          <w:rFonts w:cs="Arial"/>
          <w:b/>
          <w:bCs/>
          <w:color w:val="auto"/>
          <w:szCs w:val="20"/>
          <w:u w:val="single"/>
          <w:lang w:val="es-CL"/>
        </w:rPr>
        <w:t>Fuerza Mayor</w:t>
      </w:r>
      <w:r w:rsidRPr="004C1F9C">
        <w:rPr>
          <w:rFonts w:cs="Arial"/>
          <w:color w:val="auto"/>
          <w:szCs w:val="20"/>
          <w:lang w:val="es-CL"/>
        </w:rPr>
        <w:t>. A la excepción de las obligaciones de pago, ninguna de las partes será responsable de cualquier retraso o incumplimiento de sus obligaciones en virtud de este Contrato si dicho retraso o incumplimiento se debe a circunstancias fuera del control razonable de la parte, lo que resulta en la incapacidad de esa parte para cumplir sus obligaciones a tiempo. Tales circunstancias incluyen, sin limitación, fenómenos de la naturaleza, rayos, terremotos, inundaciones, tormentas, incendios, desastres naturales, así como pandemias, huelgas ilegales, actos de guerra, terrorismo, motines, conmoción civil, sanciones comerciales u otras restricciones gubernamentales sobre el comercio, fallas de Internet, retrasos postales o de transporte, y cambios en la ley aplicable ("</w:t>
      </w:r>
      <w:r w:rsidRPr="004C1F9C">
        <w:rPr>
          <w:rFonts w:cs="Arial"/>
          <w:b/>
          <w:bCs/>
          <w:color w:val="auto"/>
          <w:szCs w:val="20"/>
          <w:lang w:val="es-CL"/>
        </w:rPr>
        <w:t>Fuerza Mayor</w:t>
      </w:r>
      <w:r w:rsidRPr="004C1F9C">
        <w:rPr>
          <w:rFonts w:cs="Arial"/>
          <w:color w:val="auto"/>
          <w:szCs w:val="20"/>
          <w:lang w:val="es-CL"/>
        </w:rPr>
        <w:t>").</w:t>
      </w:r>
    </w:p>
    <w:p w14:paraId="3B898247" w14:textId="77777777" w:rsidR="004C1F9C" w:rsidRPr="004C1F9C" w:rsidRDefault="004C1F9C" w:rsidP="004C1F9C">
      <w:pPr>
        <w:jc w:val="both"/>
        <w:rPr>
          <w:rFonts w:cs="Arial"/>
          <w:color w:val="auto"/>
          <w:szCs w:val="20"/>
          <w:lang w:val="es-CL"/>
        </w:rPr>
      </w:pPr>
    </w:p>
    <w:p w14:paraId="2557C3FF"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13.1. Si una demora o incumplimiento es causado por Fuerza Mayor, el cumplimiento de las obligaciones de esa parte se suspenderá y la parte afectada tendrá derecho a una prórroga razonable de plazo para cumplir con dichas obligaciones.</w:t>
      </w:r>
    </w:p>
    <w:p w14:paraId="3306DE30" w14:textId="77777777" w:rsidR="004C1F9C" w:rsidRPr="004C1F9C" w:rsidRDefault="004C1F9C" w:rsidP="004C1F9C">
      <w:pPr>
        <w:ind w:left="720" w:hanging="436"/>
        <w:jc w:val="both"/>
        <w:rPr>
          <w:rFonts w:cs="Arial"/>
          <w:color w:val="auto"/>
          <w:szCs w:val="20"/>
          <w:lang w:val="es-CL"/>
        </w:rPr>
      </w:pPr>
    </w:p>
    <w:p w14:paraId="29869508"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13.2. Si un retraso o incumplimiento excede los sesenta (60) días debido a Fuerza Mayor, cualquiera de las partes puede rescindir el Contrato mediante notificación por escrito a la otra parte.</w:t>
      </w:r>
    </w:p>
    <w:p w14:paraId="2B101339" w14:textId="77777777" w:rsidR="004C1F9C" w:rsidRPr="004C1F9C" w:rsidRDefault="004C1F9C" w:rsidP="004C1F9C">
      <w:pPr>
        <w:ind w:left="720" w:hanging="436"/>
        <w:jc w:val="both"/>
        <w:rPr>
          <w:rFonts w:cs="Arial"/>
          <w:color w:val="auto"/>
          <w:szCs w:val="20"/>
          <w:lang w:val="es-CL"/>
        </w:rPr>
      </w:pPr>
    </w:p>
    <w:p w14:paraId="22BE37D8"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13.3. Si el Contrato se rescinde por Fuerza Mayor, las partes negociarán de buena fe los pagos o reembolsos que se adeuden y sean justos.</w:t>
      </w:r>
    </w:p>
    <w:p w14:paraId="7B7BFD2D" w14:textId="77777777" w:rsidR="008D64B0" w:rsidRPr="004C1F9C" w:rsidRDefault="008D64B0" w:rsidP="004C1F9C">
      <w:pPr>
        <w:jc w:val="both"/>
        <w:rPr>
          <w:rFonts w:cs="Arial"/>
          <w:color w:val="auto"/>
          <w:szCs w:val="20"/>
        </w:rPr>
      </w:pPr>
    </w:p>
    <w:p w14:paraId="41F18A4E" w14:textId="77777777" w:rsidR="004C1F9C" w:rsidRPr="004C1F9C" w:rsidRDefault="004C1F9C" w:rsidP="004C1F9C">
      <w:pPr>
        <w:jc w:val="both"/>
        <w:rPr>
          <w:rFonts w:cs="Arial"/>
          <w:color w:val="auto"/>
          <w:szCs w:val="20"/>
          <w:lang w:val="es-CL"/>
        </w:rPr>
      </w:pPr>
      <w:r w:rsidRPr="004C1F9C">
        <w:rPr>
          <w:rFonts w:cs="Arial"/>
          <w:b/>
          <w:color w:val="auto"/>
          <w:szCs w:val="20"/>
          <w:lang w:val="es-CL"/>
        </w:rPr>
        <w:t>14</w:t>
      </w:r>
      <w:r w:rsidRPr="004C1F9C">
        <w:rPr>
          <w:rFonts w:cs="Arial"/>
          <w:color w:val="auto"/>
          <w:szCs w:val="20"/>
          <w:lang w:val="es-CL"/>
        </w:rPr>
        <w:t xml:space="preserve">. </w:t>
      </w:r>
      <w:r w:rsidRPr="004C1F9C">
        <w:rPr>
          <w:rFonts w:cs="Arial"/>
          <w:b/>
          <w:bCs/>
          <w:color w:val="auto"/>
          <w:szCs w:val="20"/>
          <w:u w:val="single"/>
          <w:lang w:val="es-CL"/>
        </w:rPr>
        <w:t>Terminación</w:t>
      </w:r>
    </w:p>
    <w:p w14:paraId="6A539EFC" w14:textId="77777777" w:rsidR="004C1F9C" w:rsidRPr="004C1F9C" w:rsidRDefault="004C1F9C" w:rsidP="004C1F9C">
      <w:pPr>
        <w:jc w:val="both"/>
        <w:rPr>
          <w:rFonts w:cs="Arial"/>
          <w:color w:val="auto"/>
          <w:szCs w:val="20"/>
          <w:lang w:val="es-CL"/>
        </w:rPr>
      </w:pPr>
    </w:p>
    <w:p w14:paraId="250722C8"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14.1. </w:t>
      </w:r>
      <w:r w:rsidRPr="004C1F9C">
        <w:rPr>
          <w:rFonts w:cs="Arial"/>
          <w:b/>
          <w:bCs/>
          <w:color w:val="auto"/>
          <w:szCs w:val="20"/>
          <w:u w:val="single"/>
          <w:lang w:val="es-CL"/>
        </w:rPr>
        <w:t>Con Expresión de Causa</w:t>
      </w:r>
      <w:r w:rsidRPr="004C1F9C">
        <w:rPr>
          <w:rFonts w:cs="Arial"/>
          <w:color w:val="auto"/>
          <w:szCs w:val="20"/>
          <w:lang w:val="es-CL"/>
        </w:rPr>
        <w:t>. Para conocer los términos y condiciones relacionados con la rescisión con expresión de causa, consulte las secciones "Terminación" en los Anexos A, B, C y D, según corresponda a este Contrato.</w:t>
      </w:r>
    </w:p>
    <w:p w14:paraId="1DCE2874" w14:textId="77777777" w:rsidR="004C1F9C" w:rsidRPr="004C1F9C" w:rsidRDefault="004C1F9C" w:rsidP="004C1F9C">
      <w:pPr>
        <w:ind w:left="720" w:hanging="436"/>
        <w:jc w:val="both"/>
        <w:rPr>
          <w:rFonts w:cs="Arial"/>
          <w:color w:val="auto"/>
          <w:szCs w:val="20"/>
          <w:lang w:val="es-CL"/>
        </w:rPr>
      </w:pPr>
    </w:p>
    <w:p w14:paraId="08F29CCC"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14.2. </w:t>
      </w:r>
      <w:r w:rsidRPr="004C1F9C">
        <w:rPr>
          <w:rFonts w:cs="Arial"/>
          <w:b/>
          <w:bCs/>
          <w:color w:val="auto"/>
          <w:szCs w:val="20"/>
          <w:u w:val="single"/>
          <w:lang w:val="es-CL"/>
        </w:rPr>
        <w:t>Sin Expresión de Causa</w:t>
      </w:r>
      <w:r w:rsidRPr="004C1F9C">
        <w:rPr>
          <w:rFonts w:cs="Arial"/>
          <w:color w:val="auto"/>
          <w:szCs w:val="20"/>
          <w:lang w:val="es-CL"/>
        </w:rPr>
        <w:t xml:space="preserve">. El Cliente puede poner término anticipado y sin expresión de causa a este Contrato / Pedido en cualquier momento durante su vigencia enviando una notificación por escrito de treinta (30) días a Hexagon. No </w:t>
      </w:r>
      <w:proofErr w:type="gramStart"/>
      <w:r w:rsidRPr="004C1F9C">
        <w:rPr>
          <w:rFonts w:cs="Arial"/>
          <w:color w:val="auto"/>
          <w:szCs w:val="20"/>
          <w:lang w:val="es-CL"/>
        </w:rPr>
        <w:t>obstante</w:t>
      </w:r>
      <w:proofErr w:type="gramEnd"/>
      <w:r w:rsidRPr="004C1F9C">
        <w:rPr>
          <w:rFonts w:cs="Arial"/>
          <w:color w:val="auto"/>
          <w:szCs w:val="20"/>
          <w:lang w:val="es-CL"/>
        </w:rPr>
        <w:t xml:space="preserve"> lo anterior, las siguientes disposiciones también se aplicarán como resultado de la terminación anticipada sin expresión de causa:</w:t>
      </w:r>
    </w:p>
    <w:p w14:paraId="5E75E97E" w14:textId="77777777" w:rsidR="004C1F9C" w:rsidRPr="004C1F9C" w:rsidRDefault="004C1F9C" w:rsidP="004C1F9C">
      <w:pPr>
        <w:ind w:left="720" w:hanging="436"/>
        <w:jc w:val="both"/>
        <w:rPr>
          <w:rFonts w:cs="Arial"/>
          <w:color w:val="auto"/>
          <w:szCs w:val="20"/>
          <w:lang w:val="es-CL"/>
        </w:rPr>
      </w:pPr>
    </w:p>
    <w:p w14:paraId="6C8B6721" w14:textId="77777777" w:rsidR="004C1F9C" w:rsidRPr="004C1F9C" w:rsidRDefault="004C1F9C" w:rsidP="004C1F9C">
      <w:pPr>
        <w:pStyle w:val="ListParagraph"/>
        <w:numPr>
          <w:ilvl w:val="0"/>
          <w:numId w:val="39"/>
        </w:numPr>
        <w:ind w:left="993" w:hanging="284"/>
        <w:jc w:val="both"/>
        <w:rPr>
          <w:rFonts w:ascii="Arial" w:hAnsi="Arial" w:cs="Arial"/>
          <w:sz w:val="20"/>
          <w:szCs w:val="20"/>
          <w:lang w:val="es-CL"/>
        </w:rPr>
      </w:pPr>
      <w:r w:rsidRPr="004C1F9C">
        <w:rPr>
          <w:rFonts w:ascii="Arial" w:hAnsi="Arial" w:cs="Arial"/>
          <w:sz w:val="20"/>
          <w:szCs w:val="20"/>
          <w:lang w:val="es-CL"/>
        </w:rPr>
        <w:lastRenderedPageBreak/>
        <w:t>El Cliente pagará una tarifa por terminación anticipada equivalente al cincuenta por ciento (50%) del saldo restante del contrato o el monto equivalente a las tarifas de facturación de doce (12) meses que se adeudarían si el Contrato / Pedido no se terminara; lo que sea mayor;</w:t>
      </w:r>
    </w:p>
    <w:p w14:paraId="3B004D75" w14:textId="77777777" w:rsidR="004C1F9C" w:rsidRPr="004C1F9C" w:rsidRDefault="004C1F9C" w:rsidP="004C1F9C">
      <w:pPr>
        <w:ind w:left="993" w:hanging="284"/>
        <w:jc w:val="both"/>
        <w:rPr>
          <w:rFonts w:cs="Arial"/>
          <w:color w:val="auto"/>
          <w:szCs w:val="20"/>
          <w:lang w:val="es-CL"/>
        </w:rPr>
      </w:pPr>
    </w:p>
    <w:p w14:paraId="15A84DB5" w14:textId="77777777" w:rsidR="004C1F9C" w:rsidRPr="004C1F9C" w:rsidRDefault="004C1F9C" w:rsidP="004C1F9C">
      <w:pPr>
        <w:pStyle w:val="ListParagraph"/>
        <w:numPr>
          <w:ilvl w:val="0"/>
          <w:numId w:val="39"/>
        </w:numPr>
        <w:ind w:left="993" w:hanging="284"/>
        <w:jc w:val="both"/>
        <w:rPr>
          <w:rFonts w:ascii="Arial" w:hAnsi="Arial" w:cs="Arial"/>
          <w:sz w:val="20"/>
          <w:szCs w:val="20"/>
          <w:lang w:val="es-CL"/>
        </w:rPr>
      </w:pPr>
      <w:r w:rsidRPr="004C1F9C">
        <w:rPr>
          <w:rFonts w:ascii="Arial" w:hAnsi="Arial" w:cs="Arial"/>
          <w:sz w:val="20"/>
          <w:szCs w:val="20"/>
          <w:lang w:val="es-CL"/>
        </w:rPr>
        <w:t>No se reembolsarán las tarifas del año en curso pagadas por adelantado.</w:t>
      </w:r>
    </w:p>
    <w:p w14:paraId="74B9E82D" w14:textId="77777777" w:rsidR="004C1F9C" w:rsidRPr="004C1F9C" w:rsidRDefault="004C1F9C" w:rsidP="004C1F9C">
      <w:pPr>
        <w:ind w:left="993" w:hanging="284"/>
        <w:jc w:val="both"/>
        <w:rPr>
          <w:rFonts w:cs="Arial"/>
          <w:color w:val="auto"/>
          <w:szCs w:val="20"/>
          <w:lang w:val="es-CL"/>
        </w:rPr>
      </w:pPr>
    </w:p>
    <w:p w14:paraId="1B0CF4DF" w14:textId="77777777" w:rsidR="004C1F9C" w:rsidRPr="004C1F9C" w:rsidRDefault="004C1F9C" w:rsidP="004C1F9C">
      <w:pPr>
        <w:pStyle w:val="ListParagraph"/>
        <w:numPr>
          <w:ilvl w:val="0"/>
          <w:numId w:val="39"/>
        </w:numPr>
        <w:ind w:left="993" w:hanging="284"/>
        <w:jc w:val="both"/>
        <w:rPr>
          <w:rFonts w:ascii="Arial" w:hAnsi="Arial" w:cs="Arial"/>
          <w:sz w:val="20"/>
          <w:szCs w:val="20"/>
          <w:lang w:val="es-CL"/>
        </w:rPr>
      </w:pPr>
      <w:r w:rsidRPr="004C1F9C">
        <w:rPr>
          <w:rFonts w:ascii="Arial" w:hAnsi="Arial" w:cs="Arial"/>
          <w:sz w:val="20"/>
          <w:szCs w:val="20"/>
          <w:lang w:val="es-CL"/>
        </w:rPr>
        <w:t>Cuando las tarifas de Mantenimiento / Suscripción no se paguen por adelantado para un Período respectivo, y el Cliente rescinda el Contrato / Pedido correspondiente antes del final de dicho Período, el Cliente pagará el resto de las tarifas de Mantenimiento / Suscripción correspondientes al resto de dicho Período de Mantenimiento / Suscripción;</w:t>
      </w:r>
    </w:p>
    <w:p w14:paraId="5B1ABF7D" w14:textId="77777777" w:rsidR="004C1F9C" w:rsidRPr="004C1F9C" w:rsidRDefault="004C1F9C" w:rsidP="004C1F9C">
      <w:pPr>
        <w:ind w:left="993" w:hanging="284"/>
        <w:jc w:val="both"/>
        <w:rPr>
          <w:rFonts w:cs="Arial"/>
          <w:color w:val="auto"/>
          <w:szCs w:val="20"/>
          <w:lang w:val="es-CL"/>
        </w:rPr>
      </w:pPr>
    </w:p>
    <w:p w14:paraId="2C310C42" w14:textId="77777777" w:rsidR="004C1F9C" w:rsidRPr="004C1F9C" w:rsidRDefault="004C1F9C" w:rsidP="004C1F9C">
      <w:pPr>
        <w:pStyle w:val="ListParagraph"/>
        <w:numPr>
          <w:ilvl w:val="0"/>
          <w:numId w:val="39"/>
        </w:numPr>
        <w:ind w:left="993" w:hanging="284"/>
        <w:jc w:val="both"/>
        <w:rPr>
          <w:rFonts w:ascii="Arial" w:hAnsi="Arial" w:cs="Arial"/>
          <w:sz w:val="20"/>
          <w:szCs w:val="20"/>
          <w:lang w:val="es-CL"/>
        </w:rPr>
      </w:pPr>
      <w:r w:rsidRPr="004C1F9C">
        <w:rPr>
          <w:rFonts w:ascii="Arial" w:hAnsi="Arial" w:cs="Arial"/>
          <w:sz w:val="20"/>
          <w:szCs w:val="20"/>
          <w:lang w:val="es-CL"/>
        </w:rPr>
        <w:t>Hexagon también será reembolsada por todos los costos y gastos incurridos en relación con la desmovilización del personal y el equipo de Hexagon (si corresponde) del sitio del Cliente, incluidos los subcontratistas de Hexagon; y</w:t>
      </w:r>
    </w:p>
    <w:p w14:paraId="70AFFE64" w14:textId="77777777" w:rsidR="004C1F9C" w:rsidRPr="004C1F9C" w:rsidRDefault="004C1F9C" w:rsidP="004C1F9C">
      <w:pPr>
        <w:ind w:left="993" w:hanging="284"/>
        <w:jc w:val="both"/>
        <w:rPr>
          <w:rFonts w:cs="Arial"/>
          <w:color w:val="auto"/>
          <w:szCs w:val="20"/>
          <w:lang w:val="es-CL"/>
        </w:rPr>
      </w:pPr>
    </w:p>
    <w:p w14:paraId="2ABF27EF" w14:textId="77777777" w:rsidR="004C1F9C" w:rsidRPr="004C1F9C" w:rsidRDefault="004C1F9C" w:rsidP="004C1F9C">
      <w:pPr>
        <w:pStyle w:val="ListParagraph"/>
        <w:numPr>
          <w:ilvl w:val="0"/>
          <w:numId w:val="39"/>
        </w:numPr>
        <w:ind w:left="993" w:hanging="284"/>
        <w:jc w:val="both"/>
        <w:rPr>
          <w:rFonts w:ascii="Arial" w:hAnsi="Arial" w:cs="Arial"/>
          <w:sz w:val="20"/>
          <w:szCs w:val="20"/>
          <w:lang w:val="es-CL"/>
        </w:rPr>
      </w:pPr>
      <w:r w:rsidRPr="004C1F9C">
        <w:rPr>
          <w:rFonts w:ascii="Arial" w:hAnsi="Arial" w:cs="Arial"/>
          <w:sz w:val="20"/>
          <w:szCs w:val="20"/>
          <w:lang w:val="es-CL"/>
        </w:rPr>
        <w:t>Si el Cliente rescinde un Pedido de Hardware por conveniencia, el Cliente reembolsará a Hexagon por todos los artículos de Hardware fabricados bajo dicho Pedido dentro del período comprendido entre la fecha de aceptación del Pedido y la fecha en que Hexagon recibió el aviso de terminación. El reembolso se aplicará incluso si las unidades de Hardware correspondientes no se entregaron al Cliente antes de la terminación e incluirá los gastos asociados a los mismos, como, entre otros, las horas hombre dedicadas a la fabricación de los elementos de Hardware, piezas, componentes y consumibles.</w:t>
      </w:r>
    </w:p>
    <w:p w14:paraId="026BBAFE" w14:textId="77777777" w:rsidR="004C1F9C" w:rsidRPr="004C1F9C" w:rsidRDefault="004C1F9C" w:rsidP="004C1F9C">
      <w:pPr>
        <w:ind w:left="720" w:hanging="436"/>
        <w:jc w:val="both"/>
        <w:rPr>
          <w:rFonts w:cs="Arial"/>
          <w:color w:val="auto"/>
          <w:szCs w:val="20"/>
          <w:lang w:val="es-CL"/>
        </w:rPr>
      </w:pPr>
    </w:p>
    <w:p w14:paraId="79F15A77"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14.3. </w:t>
      </w:r>
      <w:r w:rsidRPr="004C1F9C">
        <w:rPr>
          <w:rFonts w:cs="Arial"/>
          <w:b/>
          <w:bCs/>
          <w:color w:val="auto"/>
          <w:szCs w:val="20"/>
          <w:u w:val="single"/>
          <w:lang w:val="es-CL"/>
        </w:rPr>
        <w:t>Debido a Fuerza Mayor</w:t>
      </w:r>
      <w:r w:rsidRPr="004C1F9C">
        <w:rPr>
          <w:rFonts w:cs="Arial"/>
          <w:color w:val="auto"/>
          <w:szCs w:val="20"/>
          <w:lang w:val="es-CL"/>
        </w:rPr>
        <w:t>: El Cliente o Hexagon, según sea el caso, pueden rescindir el Contrato / Pedido en cualquier momento durante su vigencia si un retraso o incumplimiento de sus obligaciones excede los sesenta (60) días debido a la ocurrencia de un evento de Fuerza Mayor. En tal caso, la parte afectada por el evento de Fuerza Mayor puede poner término al Contrato / Pedido mediante notificación inmediata por escrito a la otra parte.</w:t>
      </w:r>
    </w:p>
    <w:p w14:paraId="3B289047" w14:textId="77777777" w:rsidR="004C1F9C" w:rsidRPr="004C1F9C" w:rsidRDefault="004C1F9C" w:rsidP="004C1F9C">
      <w:pPr>
        <w:ind w:left="720" w:hanging="436"/>
        <w:jc w:val="both"/>
        <w:rPr>
          <w:rFonts w:cs="Arial"/>
          <w:color w:val="auto"/>
          <w:szCs w:val="20"/>
          <w:lang w:val="es-CL"/>
        </w:rPr>
      </w:pPr>
    </w:p>
    <w:p w14:paraId="1E33C6BE"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14.4. </w:t>
      </w:r>
      <w:r w:rsidRPr="004C1F9C">
        <w:rPr>
          <w:rFonts w:cs="Arial"/>
          <w:b/>
          <w:bCs/>
          <w:color w:val="auto"/>
          <w:szCs w:val="20"/>
          <w:u w:val="single"/>
          <w:lang w:val="es-CL"/>
        </w:rPr>
        <w:t>Efectos de la Terminación (Con o Sin Expresión de Causa) o Vencimiento</w:t>
      </w:r>
      <w:r w:rsidRPr="004C1F9C">
        <w:rPr>
          <w:rFonts w:cs="Arial"/>
          <w:color w:val="auto"/>
          <w:szCs w:val="20"/>
          <w:lang w:val="es-CL"/>
        </w:rPr>
        <w:t>. Al término o vencimiento natural de este Contrato / Pedido:</w:t>
      </w:r>
    </w:p>
    <w:p w14:paraId="435C1D6C" w14:textId="77777777" w:rsidR="004C1F9C" w:rsidRPr="004C1F9C" w:rsidRDefault="004C1F9C" w:rsidP="004C1F9C">
      <w:pPr>
        <w:ind w:left="720" w:hanging="436"/>
        <w:jc w:val="both"/>
        <w:rPr>
          <w:rFonts w:cs="Arial"/>
          <w:color w:val="auto"/>
          <w:szCs w:val="20"/>
          <w:lang w:val="es-CL"/>
        </w:rPr>
      </w:pPr>
    </w:p>
    <w:p w14:paraId="3FE18D21" w14:textId="77777777" w:rsidR="004C1F9C" w:rsidRPr="004C1F9C" w:rsidRDefault="004C1F9C" w:rsidP="004C1F9C">
      <w:pPr>
        <w:ind w:left="993" w:hanging="284"/>
        <w:jc w:val="both"/>
        <w:rPr>
          <w:rFonts w:cs="Arial"/>
          <w:color w:val="auto"/>
          <w:szCs w:val="20"/>
          <w:lang w:val="es-CL"/>
        </w:rPr>
      </w:pPr>
      <w:r w:rsidRPr="004C1F9C">
        <w:rPr>
          <w:rFonts w:cs="Arial"/>
          <w:color w:val="auto"/>
          <w:szCs w:val="20"/>
          <w:lang w:val="es-CL"/>
        </w:rPr>
        <w:t>(A) El Cliente acepta pagar inmediatamente cualquier monto pendiente o adeudado o pagadero a Hexagon por cualquier motivo;</w:t>
      </w:r>
    </w:p>
    <w:p w14:paraId="4AEFFD1C" w14:textId="77777777" w:rsidR="004C1F9C" w:rsidRPr="004C1F9C" w:rsidRDefault="004C1F9C" w:rsidP="004C1F9C">
      <w:pPr>
        <w:ind w:left="993" w:hanging="284"/>
        <w:jc w:val="both"/>
        <w:rPr>
          <w:rFonts w:cs="Arial"/>
          <w:color w:val="auto"/>
          <w:szCs w:val="20"/>
          <w:lang w:val="es-CL"/>
        </w:rPr>
      </w:pPr>
    </w:p>
    <w:p w14:paraId="73CDF801" w14:textId="77777777" w:rsidR="004C1F9C" w:rsidRPr="004C1F9C" w:rsidRDefault="004C1F9C" w:rsidP="004C1F9C">
      <w:pPr>
        <w:ind w:left="993" w:hanging="284"/>
        <w:jc w:val="both"/>
        <w:rPr>
          <w:rFonts w:cs="Arial"/>
          <w:color w:val="auto"/>
          <w:szCs w:val="20"/>
          <w:lang w:val="es-CL"/>
        </w:rPr>
      </w:pPr>
      <w:r w:rsidRPr="004C1F9C">
        <w:rPr>
          <w:rFonts w:cs="Arial"/>
          <w:color w:val="auto"/>
          <w:szCs w:val="20"/>
          <w:lang w:val="es-CL"/>
        </w:rPr>
        <w:t>(B) En caso de que se produzca la terminación con expresión de causa de parte el Cliente, la Licencia será revocada;</w:t>
      </w:r>
    </w:p>
    <w:p w14:paraId="3FB04097" w14:textId="77777777" w:rsidR="004C1F9C" w:rsidRPr="004C1F9C" w:rsidRDefault="004C1F9C" w:rsidP="004C1F9C">
      <w:pPr>
        <w:ind w:left="993" w:hanging="284"/>
        <w:jc w:val="both"/>
        <w:rPr>
          <w:rFonts w:cs="Arial"/>
          <w:color w:val="auto"/>
          <w:szCs w:val="20"/>
          <w:lang w:val="es-CL"/>
        </w:rPr>
      </w:pPr>
    </w:p>
    <w:p w14:paraId="67AAAF01" w14:textId="77777777" w:rsidR="004C1F9C" w:rsidRPr="004C1F9C" w:rsidRDefault="004C1F9C" w:rsidP="004C1F9C">
      <w:pPr>
        <w:ind w:left="993" w:hanging="284"/>
        <w:jc w:val="both"/>
        <w:rPr>
          <w:rFonts w:cs="Arial"/>
          <w:color w:val="auto"/>
          <w:szCs w:val="20"/>
          <w:lang w:val="es-CL"/>
        </w:rPr>
      </w:pPr>
      <w:r w:rsidRPr="004C1F9C">
        <w:rPr>
          <w:rFonts w:cs="Arial"/>
          <w:color w:val="auto"/>
          <w:szCs w:val="20"/>
          <w:lang w:val="es-CL"/>
        </w:rPr>
        <w:t>(C) Cuando el Cliente cancele una Suscripción, el Cliente debe suspender inmediatamente todo uso de las licencias del Software y / o de las unidades de Hardware suscritas;</w:t>
      </w:r>
    </w:p>
    <w:p w14:paraId="1A08A483" w14:textId="77777777" w:rsidR="004C1F9C" w:rsidRPr="004C1F9C" w:rsidRDefault="004C1F9C" w:rsidP="004C1F9C">
      <w:pPr>
        <w:ind w:left="993" w:hanging="284"/>
        <w:jc w:val="both"/>
        <w:rPr>
          <w:rFonts w:cs="Arial"/>
          <w:color w:val="auto"/>
          <w:szCs w:val="20"/>
          <w:lang w:val="es-CL"/>
        </w:rPr>
      </w:pPr>
    </w:p>
    <w:p w14:paraId="589C05B0" w14:textId="77777777" w:rsidR="004C1F9C" w:rsidRPr="004C1F9C" w:rsidRDefault="004C1F9C" w:rsidP="004C1F9C">
      <w:pPr>
        <w:ind w:left="993" w:hanging="284"/>
        <w:jc w:val="both"/>
        <w:rPr>
          <w:rFonts w:cs="Arial"/>
          <w:color w:val="auto"/>
          <w:szCs w:val="20"/>
          <w:lang w:val="es-CL"/>
        </w:rPr>
      </w:pPr>
      <w:r w:rsidRPr="004C1F9C">
        <w:rPr>
          <w:rFonts w:cs="Arial"/>
          <w:color w:val="auto"/>
          <w:szCs w:val="20"/>
          <w:lang w:val="es-CL"/>
        </w:rPr>
        <w:t xml:space="preserve">(D) Si se suministra en virtud de un Contrato de suscripción, el Cliente deberá, dentro de los cinco (5) días hábiles posteriores a dicha terminación o vencimiento, pagar los costos relacionados con la desmovilización del personal de Hexagon del sitio del Cliente y devolver a Hexagon todos los materiales relacionados (por ejemplo: </w:t>
      </w:r>
      <w:proofErr w:type="spellStart"/>
      <w:r w:rsidRPr="004C1F9C">
        <w:rPr>
          <w:rFonts w:cs="Arial"/>
          <w:color w:val="auto"/>
          <w:szCs w:val="20"/>
          <w:lang w:val="es-CL"/>
        </w:rPr>
        <w:t>midias</w:t>
      </w:r>
      <w:proofErr w:type="spellEnd"/>
      <w:r w:rsidRPr="004C1F9C">
        <w:rPr>
          <w:rFonts w:cs="Arial"/>
          <w:color w:val="auto"/>
          <w:szCs w:val="20"/>
          <w:lang w:val="es-CL"/>
        </w:rPr>
        <w:t xml:space="preserve"> físicas, claves de hardware, claves de licencia, archivos de licencia, manuales de productos, folletos de formación, etc.). El Cliente también dejará de usar el Software y el Hardware y destruirá o devolverá todas las copias del Software, devolverá todos los elementos del Hardware y materiales relacionados (por ejemplo, medios, claves de hardware, claves de licencia, archivos de licencia, etc.) y todas las copias de </w:t>
      </w:r>
      <w:proofErr w:type="gramStart"/>
      <w:r w:rsidRPr="004C1F9C">
        <w:rPr>
          <w:rFonts w:cs="Arial"/>
          <w:color w:val="auto"/>
          <w:szCs w:val="20"/>
          <w:lang w:val="es-CL"/>
        </w:rPr>
        <w:t>los mismos</w:t>
      </w:r>
      <w:proofErr w:type="gramEnd"/>
      <w:r w:rsidRPr="004C1F9C">
        <w:rPr>
          <w:rFonts w:cs="Arial"/>
          <w:color w:val="auto"/>
          <w:szCs w:val="20"/>
          <w:lang w:val="es-CL"/>
        </w:rPr>
        <w:t xml:space="preserve"> que estén bajo posesión del Cliente. Todos los artículos devueltos deben estar en buenas condiciones de funcionamiento, observado la depreciación y el desgaste normal, y deben estar debidamente empaquetados y enviados para evitar daños o pérdidas durante el tránsito. El Cliente asume toda la responsabilidad por cualquier pérdida o daño a dichos artículos durante el envío hasta que dichos artículos lleguen a las oficinas de Hexagon. Cualquier </w:t>
      </w:r>
      <w:r w:rsidRPr="004C1F9C">
        <w:rPr>
          <w:rFonts w:cs="Arial"/>
          <w:color w:val="auto"/>
          <w:szCs w:val="20"/>
          <w:lang w:val="es-CL"/>
        </w:rPr>
        <w:lastRenderedPageBreak/>
        <w:t>costo y gasto asociado con la destrucción o devolución de los Productos de Hexagon correrá a cargo del Cliente.</w:t>
      </w:r>
    </w:p>
    <w:p w14:paraId="74931171" w14:textId="77777777" w:rsidR="004C1F9C" w:rsidRPr="004C1F9C" w:rsidRDefault="004C1F9C" w:rsidP="004C1F9C">
      <w:pPr>
        <w:ind w:left="993" w:hanging="284"/>
        <w:jc w:val="both"/>
        <w:rPr>
          <w:rFonts w:cs="Arial"/>
          <w:color w:val="auto"/>
          <w:szCs w:val="20"/>
          <w:lang w:val="es-CL"/>
        </w:rPr>
      </w:pPr>
    </w:p>
    <w:p w14:paraId="49111A74" w14:textId="77777777" w:rsidR="004C1F9C" w:rsidRPr="004C1F9C" w:rsidRDefault="004C1F9C" w:rsidP="004C1F9C">
      <w:pPr>
        <w:ind w:left="993" w:hanging="284"/>
        <w:jc w:val="both"/>
        <w:rPr>
          <w:rFonts w:cs="Arial"/>
          <w:color w:val="auto"/>
          <w:szCs w:val="20"/>
          <w:lang w:val="es-CL"/>
        </w:rPr>
      </w:pPr>
      <w:r w:rsidRPr="004C1F9C">
        <w:rPr>
          <w:rFonts w:cs="Arial"/>
          <w:color w:val="auto"/>
          <w:szCs w:val="20"/>
          <w:lang w:val="es-CL"/>
        </w:rPr>
        <w:t>(E) La terminación, suspensión o expiración de este Contrato no afectará ningún derecho acumulado por una Parte antes de la terminación, suspensión o expiración.</w:t>
      </w:r>
    </w:p>
    <w:p w14:paraId="3030BE77" w14:textId="77777777" w:rsidR="004C1F9C" w:rsidRPr="004C1F9C" w:rsidRDefault="004C1F9C" w:rsidP="004C1F9C">
      <w:pPr>
        <w:ind w:left="993" w:hanging="284"/>
        <w:jc w:val="both"/>
        <w:rPr>
          <w:rFonts w:cs="Arial"/>
          <w:color w:val="auto"/>
          <w:szCs w:val="20"/>
          <w:lang w:val="es-CL"/>
        </w:rPr>
      </w:pPr>
    </w:p>
    <w:p w14:paraId="5907AB67" w14:textId="77777777" w:rsidR="004C1F9C" w:rsidRPr="004C1F9C" w:rsidRDefault="004C1F9C" w:rsidP="004C1F9C">
      <w:pPr>
        <w:ind w:left="993" w:hanging="284"/>
        <w:jc w:val="both"/>
        <w:rPr>
          <w:rFonts w:cs="Arial"/>
          <w:color w:val="auto"/>
          <w:szCs w:val="20"/>
          <w:lang w:val="es-CL"/>
        </w:rPr>
      </w:pPr>
      <w:r w:rsidRPr="004C1F9C">
        <w:rPr>
          <w:rFonts w:cs="Arial"/>
          <w:color w:val="auto"/>
          <w:szCs w:val="20"/>
          <w:lang w:val="es-CL"/>
        </w:rPr>
        <w:t>(F) Los términos relevantes del Contrato relacionados con la responsabilidad, exportación y protección de datos y derechos de propiedad intelectual siguen siendo vinculantes permanentemente para las partes del Contrato.</w:t>
      </w:r>
    </w:p>
    <w:p w14:paraId="164775E6" w14:textId="77777777" w:rsidR="004C1F9C" w:rsidRPr="004C1F9C" w:rsidRDefault="004C1F9C" w:rsidP="004C1F9C">
      <w:pPr>
        <w:ind w:left="720"/>
        <w:jc w:val="both"/>
        <w:rPr>
          <w:color w:val="auto"/>
          <w:szCs w:val="20"/>
          <w:lang w:val="es-CL"/>
        </w:rPr>
      </w:pPr>
      <w:r w:rsidRPr="004C1F9C">
        <w:rPr>
          <w:rFonts w:cs="Arial"/>
          <w:color w:val="auto"/>
          <w:szCs w:val="20"/>
          <w:lang w:val="es-CL"/>
        </w:rPr>
        <w:t xml:space="preserve"> </w:t>
      </w:r>
    </w:p>
    <w:p w14:paraId="4E82A61C" w14:textId="77777777" w:rsidR="004C1F9C" w:rsidRPr="004C1F9C" w:rsidRDefault="004C1F9C" w:rsidP="004C1F9C">
      <w:pPr>
        <w:pStyle w:val="Doc3"/>
        <w:numPr>
          <w:ilvl w:val="0"/>
          <w:numId w:val="0"/>
        </w:numPr>
        <w:tabs>
          <w:tab w:val="left" w:pos="360"/>
        </w:tabs>
        <w:jc w:val="both"/>
        <w:rPr>
          <w:sz w:val="20"/>
          <w:szCs w:val="20"/>
          <w:lang w:val="es-CL"/>
        </w:rPr>
      </w:pPr>
      <w:r w:rsidRPr="004C1F9C">
        <w:rPr>
          <w:sz w:val="20"/>
          <w:szCs w:val="20"/>
          <w:lang w:val="es-CL"/>
        </w:rPr>
        <w:t xml:space="preserve">15. </w:t>
      </w:r>
      <w:r w:rsidRPr="004C1F9C">
        <w:rPr>
          <w:b/>
          <w:bCs/>
          <w:sz w:val="20"/>
          <w:szCs w:val="20"/>
          <w:u w:val="single"/>
          <w:lang w:val="es-CL"/>
        </w:rPr>
        <w:t>Reembolsos</w:t>
      </w:r>
      <w:r w:rsidRPr="004C1F9C">
        <w:rPr>
          <w:sz w:val="20"/>
          <w:szCs w:val="20"/>
          <w:lang w:val="es-CL"/>
        </w:rPr>
        <w:t>.</w:t>
      </w:r>
    </w:p>
    <w:p w14:paraId="052B6ACC" w14:textId="77777777" w:rsidR="004C1F9C" w:rsidRPr="004C1F9C" w:rsidRDefault="004C1F9C" w:rsidP="004C1F9C">
      <w:pPr>
        <w:pStyle w:val="Doc3"/>
        <w:numPr>
          <w:ilvl w:val="0"/>
          <w:numId w:val="0"/>
        </w:numPr>
        <w:tabs>
          <w:tab w:val="left" w:pos="360"/>
        </w:tabs>
        <w:jc w:val="both"/>
        <w:rPr>
          <w:sz w:val="20"/>
          <w:szCs w:val="20"/>
          <w:lang w:val="es-CL"/>
        </w:rPr>
      </w:pPr>
      <w:r w:rsidRPr="004C1F9C">
        <w:rPr>
          <w:sz w:val="20"/>
          <w:szCs w:val="20"/>
          <w:lang w:val="es-CL"/>
        </w:rPr>
        <w:t xml:space="preserve"> </w:t>
      </w:r>
    </w:p>
    <w:p w14:paraId="6DACD9CA" w14:textId="77777777" w:rsidR="004C1F9C" w:rsidRPr="004C1F9C" w:rsidRDefault="004C1F9C" w:rsidP="004C1F9C">
      <w:pPr>
        <w:pStyle w:val="Doc3"/>
        <w:numPr>
          <w:ilvl w:val="0"/>
          <w:numId w:val="0"/>
        </w:numPr>
        <w:tabs>
          <w:tab w:val="clear" w:pos="425"/>
        </w:tabs>
        <w:ind w:left="709" w:hanging="425"/>
        <w:jc w:val="both"/>
        <w:rPr>
          <w:sz w:val="20"/>
          <w:szCs w:val="20"/>
          <w:lang w:val="es-CL"/>
        </w:rPr>
      </w:pPr>
      <w:r w:rsidRPr="004C1F9C">
        <w:rPr>
          <w:sz w:val="20"/>
          <w:szCs w:val="20"/>
          <w:lang w:val="es-CL"/>
        </w:rPr>
        <w:t xml:space="preserve">15.1. </w:t>
      </w:r>
      <w:r w:rsidRPr="004C1F9C">
        <w:rPr>
          <w:b/>
          <w:bCs/>
          <w:sz w:val="20"/>
          <w:szCs w:val="20"/>
          <w:u w:val="single"/>
          <w:lang w:val="es-CL"/>
        </w:rPr>
        <w:t>Software</w:t>
      </w:r>
      <w:r w:rsidRPr="004C1F9C">
        <w:rPr>
          <w:sz w:val="20"/>
          <w:szCs w:val="20"/>
          <w:lang w:val="es-CL"/>
        </w:rPr>
        <w:t>. Las tarifas de licencia de software bajo un Pedido de Compra o de Suscripción no son reembolsables, ya sea que el Contrato se termine con o sin expresión de causa.</w:t>
      </w:r>
    </w:p>
    <w:p w14:paraId="1B2C17BE" w14:textId="77777777" w:rsidR="004C1F9C" w:rsidRPr="004C1F9C" w:rsidRDefault="004C1F9C" w:rsidP="004C1F9C">
      <w:pPr>
        <w:pStyle w:val="Doc3"/>
        <w:numPr>
          <w:ilvl w:val="0"/>
          <w:numId w:val="0"/>
        </w:numPr>
        <w:tabs>
          <w:tab w:val="clear" w:pos="425"/>
        </w:tabs>
        <w:ind w:left="709" w:hanging="425"/>
        <w:jc w:val="both"/>
        <w:rPr>
          <w:sz w:val="20"/>
          <w:szCs w:val="20"/>
          <w:lang w:val="es-CL"/>
        </w:rPr>
      </w:pPr>
    </w:p>
    <w:p w14:paraId="05978328" w14:textId="77777777" w:rsidR="004C1F9C" w:rsidRPr="004C1F9C" w:rsidRDefault="004C1F9C" w:rsidP="004C1F9C">
      <w:pPr>
        <w:pStyle w:val="Doc3"/>
        <w:numPr>
          <w:ilvl w:val="0"/>
          <w:numId w:val="0"/>
        </w:numPr>
        <w:tabs>
          <w:tab w:val="clear" w:pos="425"/>
        </w:tabs>
        <w:ind w:left="709" w:hanging="425"/>
        <w:jc w:val="both"/>
        <w:rPr>
          <w:sz w:val="20"/>
          <w:szCs w:val="20"/>
          <w:lang w:val="es-CL"/>
        </w:rPr>
      </w:pPr>
      <w:r w:rsidRPr="004C1F9C">
        <w:rPr>
          <w:sz w:val="20"/>
          <w:szCs w:val="20"/>
          <w:lang w:val="es-CL"/>
        </w:rPr>
        <w:t xml:space="preserve">15.2. </w:t>
      </w:r>
      <w:r w:rsidRPr="004C1F9C">
        <w:rPr>
          <w:b/>
          <w:bCs/>
          <w:sz w:val="20"/>
          <w:szCs w:val="20"/>
          <w:u w:val="single"/>
          <w:lang w:val="es-CL"/>
        </w:rPr>
        <w:t>Hardware</w:t>
      </w:r>
      <w:r w:rsidRPr="004C1F9C">
        <w:rPr>
          <w:sz w:val="20"/>
          <w:szCs w:val="20"/>
          <w:lang w:val="es-CL"/>
        </w:rPr>
        <w:t>. Las tarifas de hardware en virtud de una compra o un Contrato / Pedido de Suscripción no son reembolsables, a menos que Hexagon no pueda reparar o reemplazar el hardware defectuoso, de conformidad con las disposiciones establecidas en los artículos 5.2 (A), (B) y 8.3 del Anexo B.</w:t>
      </w:r>
    </w:p>
    <w:p w14:paraId="208F52AD" w14:textId="77777777" w:rsidR="004C1F9C" w:rsidRPr="004C1F9C" w:rsidRDefault="004C1F9C" w:rsidP="004C1F9C">
      <w:pPr>
        <w:pStyle w:val="Doc3"/>
        <w:numPr>
          <w:ilvl w:val="0"/>
          <w:numId w:val="0"/>
        </w:numPr>
        <w:tabs>
          <w:tab w:val="clear" w:pos="425"/>
        </w:tabs>
        <w:ind w:left="709" w:hanging="425"/>
        <w:jc w:val="both"/>
        <w:rPr>
          <w:sz w:val="20"/>
          <w:szCs w:val="20"/>
          <w:lang w:val="es-CL"/>
        </w:rPr>
      </w:pPr>
    </w:p>
    <w:p w14:paraId="356372B7" w14:textId="77777777" w:rsidR="004C1F9C" w:rsidRPr="004C1F9C" w:rsidRDefault="004C1F9C" w:rsidP="004C1F9C">
      <w:pPr>
        <w:pStyle w:val="Doc3"/>
        <w:numPr>
          <w:ilvl w:val="0"/>
          <w:numId w:val="0"/>
        </w:numPr>
        <w:tabs>
          <w:tab w:val="clear" w:pos="425"/>
        </w:tabs>
        <w:ind w:left="709" w:hanging="425"/>
        <w:jc w:val="both"/>
        <w:rPr>
          <w:sz w:val="20"/>
          <w:szCs w:val="20"/>
          <w:lang w:val="es-CL"/>
        </w:rPr>
      </w:pPr>
      <w:r w:rsidRPr="004C1F9C">
        <w:rPr>
          <w:sz w:val="20"/>
          <w:szCs w:val="20"/>
          <w:lang w:val="es-CL"/>
        </w:rPr>
        <w:t xml:space="preserve">15.3. </w:t>
      </w:r>
      <w:r w:rsidRPr="004C1F9C">
        <w:rPr>
          <w:b/>
          <w:bCs/>
          <w:sz w:val="20"/>
          <w:szCs w:val="20"/>
          <w:u w:val="single"/>
          <w:lang w:val="es-CL"/>
        </w:rPr>
        <w:t>Servicios</w:t>
      </w:r>
      <w:r w:rsidRPr="004C1F9C">
        <w:rPr>
          <w:sz w:val="20"/>
          <w:szCs w:val="20"/>
          <w:lang w:val="es-CL"/>
        </w:rPr>
        <w:t>. Las tarifas de servicios no son reembolsables, a menos que Hexagon no pueda remediar los Servicios defectuosos, de conformidad con las disposiciones establecidas en los artículos 12.3 (A), (B) y 15.2 del Anexo C.</w:t>
      </w:r>
    </w:p>
    <w:p w14:paraId="4334B557" w14:textId="77777777" w:rsidR="004C1F9C" w:rsidRPr="004C1F9C" w:rsidRDefault="004C1F9C" w:rsidP="004C1F9C">
      <w:pPr>
        <w:pStyle w:val="Doc3"/>
        <w:numPr>
          <w:ilvl w:val="0"/>
          <w:numId w:val="0"/>
        </w:numPr>
        <w:tabs>
          <w:tab w:val="clear" w:pos="425"/>
        </w:tabs>
        <w:ind w:left="709" w:hanging="425"/>
        <w:jc w:val="both"/>
        <w:rPr>
          <w:sz w:val="20"/>
          <w:szCs w:val="20"/>
          <w:lang w:val="es-CL"/>
        </w:rPr>
      </w:pPr>
    </w:p>
    <w:p w14:paraId="581DA2CC" w14:textId="77777777" w:rsidR="004C1F9C" w:rsidRPr="004C1F9C" w:rsidRDefault="004C1F9C" w:rsidP="004C1F9C">
      <w:pPr>
        <w:pStyle w:val="Doc3"/>
        <w:numPr>
          <w:ilvl w:val="0"/>
          <w:numId w:val="0"/>
        </w:numPr>
        <w:tabs>
          <w:tab w:val="clear" w:pos="425"/>
        </w:tabs>
        <w:ind w:left="709" w:hanging="425"/>
        <w:jc w:val="both"/>
        <w:rPr>
          <w:sz w:val="20"/>
          <w:szCs w:val="20"/>
          <w:lang w:val="es-CL"/>
        </w:rPr>
      </w:pPr>
      <w:r w:rsidRPr="004C1F9C">
        <w:rPr>
          <w:sz w:val="20"/>
          <w:szCs w:val="20"/>
          <w:lang w:val="es-CL"/>
        </w:rPr>
        <w:t xml:space="preserve">15.4. </w:t>
      </w:r>
      <w:r w:rsidRPr="004C1F9C">
        <w:rPr>
          <w:b/>
          <w:bCs/>
          <w:sz w:val="20"/>
          <w:szCs w:val="20"/>
          <w:u w:val="single"/>
          <w:lang w:val="es-CL"/>
        </w:rPr>
        <w:t>Mantenimiento / Suscripciones</w:t>
      </w:r>
      <w:r w:rsidRPr="004C1F9C">
        <w:rPr>
          <w:sz w:val="20"/>
          <w:szCs w:val="20"/>
          <w:lang w:val="es-CL"/>
        </w:rPr>
        <w:t>. No se proporcionarán reembolsos por las tarifas de Mantenimiento / Suscripción ya pagadas por el Cliente para el Período de Mantenimiento / Suscripción correspondiente.</w:t>
      </w:r>
    </w:p>
    <w:p w14:paraId="03FB3DEF" w14:textId="77777777" w:rsidR="004C1F9C" w:rsidRPr="004C1F9C" w:rsidRDefault="004C1F9C" w:rsidP="004C1F9C">
      <w:pPr>
        <w:jc w:val="both"/>
        <w:rPr>
          <w:rFonts w:cs="Arial"/>
          <w:color w:val="auto"/>
          <w:szCs w:val="20"/>
          <w:lang w:val="es-CL"/>
        </w:rPr>
      </w:pPr>
      <w:r w:rsidRPr="004C1F9C">
        <w:rPr>
          <w:rFonts w:cs="Arial"/>
          <w:color w:val="auto"/>
          <w:szCs w:val="20"/>
          <w:lang w:val="es-CL"/>
        </w:rPr>
        <w:t xml:space="preserve"> </w:t>
      </w:r>
    </w:p>
    <w:p w14:paraId="5883BAC9" w14:textId="77777777" w:rsidR="004C1F9C" w:rsidRPr="004C1F9C" w:rsidRDefault="004C1F9C" w:rsidP="004C1F9C">
      <w:pPr>
        <w:jc w:val="both"/>
        <w:rPr>
          <w:rFonts w:cs="Arial"/>
          <w:color w:val="auto"/>
          <w:szCs w:val="20"/>
          <w:lang w:val="es-CL"/>
        </w:rPr>
      </w:pPr>
      <w:r w:rsidRPr="004C1F9C">
        <w:rPr>
          <w:rFonts w:cs="Arial"/>
          <w:b/>
          <w:color w:val="auto"/>
          <w:szCs w:val="20"/>
          <w:lang w:val="es-CL"/>
        </w:rPr>
        <w:t>16</w:t>
      </w:r>
      <w:r w:rsidRPr="004C1F9C">
        <w:rPr>
          <w:rFonts w:cs="Arial"/>
          <w:color w:val="auto"/>
          <w:szCs w:val="20"/>
          <w:lang w:val="es-CL"/>
        </w:rPr>
        <w:t xml:space="preserve">. </w:t>
      </w:r>
      <w:r w:rsidRPr="004C1F9C">
        <w:rPr>
          <w:rFonts w:cs="Arial"/>
          <w:b/>
          <w:bCs/>
          <w:color w:val="auto"/>
          <w:szCs w:val="20"/>
          <w:u w:val="single"/>
          <w:lang w:val="es-CL"/>
        </w:rPr>
        <w:t>Condiciones Generales.</w:t>
      </w:r>
    </w:p>
    <w:p w14:paraId="50A19D5D" w14:textId="77777777" w:rsidR="004C1F9C" w:rsidRPr="004C1F9C" w:rsidRDefault="004C1F9C" w:rsidP="004C1F9C">
      <w:pPr>
        <w:jc w:val="both"/>
        <w:rPr>
          <w:rFonts w:cs="Arial"/>
          <w:color w:val="auto"/>
          <w:szCs w:val="20"/>
          <w:lang w:val="es-CL"/>
        </w:rPr>
      </w:pPr>
    </w:p>
    <w:p w14:paraId="631EEBA6"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 </w:t>
      </w:r>
      <w:r w:rsidRPr="004C1F9C">
        <w:rPr>
          <w:rFonts w:cs="Arial"/>
          <w:b/>
          <w:bCs/>
          <w:color w:val="auto"/>
          <w:szCs w:val="20"/>
          <w:u w:val="single"/>
          <w:lang w:val="es-CL"/>
        </w:rPr>
        <w:t>Acuerdo Integral</w:t>
      </w:r>
      <w:r w:rsidRPr="004C1F9C">
        <w:rPr>
          <w:rFonts w:cs="Arial"/>
          <w:color w:val="auto"/>
          <w:szCs w:val="20"/>
          <w:lang w:val="es-CL"/>
        </w:rPr>
        <w:t xml:space="preserve">. No se aplican a este Contrato términos adicionales o contradictorios de ninguna otra fuente, como los formularios de pedido de compra del Cliente u otros documentos, correspondencia o términos y condiciones </w:t>
      </w:r>
      <w:proofErr w:type="spellStart"/>
      <w:r w:rsidRPr="004C1F9C">
        <w:rPr>
          <w:rFonts w:cs="Arial"/>
          <w:color w:val="auto"/>
          <w:szCs w:val="20"/>
          <w:lang w:val="es-CL"/>
        </w:rPr>
        <w:t>pre-impresos</w:t>
      </w:r>
      <w:proofErr w:type="spellEnd"/>
      <w:r w:rsidRPr="004C1F9C">
        <w:rPr>
          <w:rFonts w:cs="Arial"/>
          <w:color w:val="auto"/>
          <w:szCs w:val="20"/>
          <w:lang w:val="es-CL"/>
        </w:rPr>
        <w:t xml:space="preserve"> que puedan intercambiarse entre las partes (excepto estos Términos y Condiciones Generales y sus Apéndices aplicables). Este Contrato reemplaza y cancela todos los acuerdos, comunicaciones y negociaciones previas, entre las partes, escritas y orales, con respecto a su objeto.</w:t>
      </w:r>
    </w:p>
    <w:p w14:paraId="34432A9A" w14:textId="77777777" w:rsidR="004C1F9C" w:rsidRPr="004C1F9C" w:rsidRDefault="004C1F9C" w:rsidP="004C1F9C">
      <w:pPr>
        <w:ind w:left="720" w:hanging="436"/>
        <w:jc w:val="both"/>
        <w:rPr>
          <w:rFonts w:cs="Arial"/>
          <w:color w:val="auto"/>
          <w:szCs w:val="20"/>
          <w:lang w:val="es-CL"/>
        </w:rPr>
      </w:pPr>
    </w:p>
    <w:p w14:paraId="0FC633FC"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16.2. </w:t>
      </w:r>
      <w:r w:rsidRPr="004C1F9C">
        <w:rPr>
          <w:rFonts w:cs="Arial"/>
          <w:b/>
          <w:bCs/>
          <w:color w:val="auto"/>
          <w:szCs w:val="20"/>
          <w:u w:val="single"/>
          <w:lang w:val="es-CL"/>
        </w:rPr>
        <w:t>Enmiendas y Modificaciones</w:t>
      </w:r>
      <w:r w:rsidRPr="004C1F9C">
        <w:rPr>
          <w:rFonts w:cs="Arial"/>
          <w:color w:val="auto"/>
          <w:szCs w:val="20"/>
          <w:lang w:val="es-CL"/>
        </w:rPr>
        <w:t>. Cualquier enmienda, modificación u otros cambios a este Contrato, incluidos los cambios en cualquier Pedido y los cambios en cualquier alcance de los Productos, deben ser por escrito y estar de acuerdo con ambas partes para que sean válidos y vinculantes.</w:t>
      </w:r>
    </w:p>
    <w:p w14:paraId="41C4FC73" w14:textId="77777777" w:rsidR="004C1F9C" w:rsidRPr="004C1F9C" w:rsidRDefault="004C1F9C" w:rsidP="004C1F9C">
      <w:pPr>
        <w:ind w:left="720" w:hanging="436"/>
        <w:jc w:val="both"/>
        <w:rPr>
          <w:rFonts w:cs="Arial"/>
          <w:color w:val="auto"/>
          <w:szCs w:val="20"/>
          <w:lang w:val="es-CL"/>
        </w:rPr>
      </w:pPr>
    </w:p>
    <w:p w14:paraId="3D15A091"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16.3. </w:t>
      </w:r>
      <w:r w:rsidRPr="004C1F9C">
        <w:rPr>
          <w:rFonts w:cs="Arial"/>
          <w:b/>
          <w:bCs/>
          <w:color w:val="auto"/>
          <w:szCs w:val="20"/>
          <w:u w:val="single"/>
          <w:lang w:val="es-CL"/>
        </w:rPr>
        <w:t>Divisibilidad</w:t>
      </w:r>
      <w:r w:rsidRPr="004C1F9C">
        <w:rPr>
          <w:rFonts w:cs="Arial"/>
          <w:color w:val="auto"/>
          <w:szCs w:val="20"/>
          <w:lang w:val="es-CL"/>
        </w:rPr>
        <w:t>. Si se determina que alguna disposición del Contrato es inválida o inaplicable, dicha determinación no hará que todo el Contrato sea inaplicable o inválido. En contrario, el Contrato se leerá e interpretará, únicamente con respecto a la disposición afectada, como si ésta fuera inválida o inaplicable, o en la medida de lo posible, para ajustarse a la intención original de las partes, y los derechos y obligaciones de las partes se interpretarán y harán cumplir en consecuencia.</w:t>
      </w:r>
    </w:p>
    <w:p w14:paraId="01BDBDE3" w14:textId="77777777" w:rsidR="004C1F9C" w:rsidRPr="004C1F9C" w:rsidRDefault="004C1F9C" w:rsidP="004C1F9C">
      <w:pPr>
        <w:ind w:left="720" w:hanging="436"/>
        <w:jc w:val="both"/>
        <w:rPr>
          <w:rFonts w:cs="Arial"/>
          <w:color w:val="auto"/>
          <w:szCs w:val="20"/>
          <w:lang w:val="es-CL"/>
        </w:rPr>
      </w:pPr>
    </w:p>
    <w:p w14:paraId="672A4D75"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16.4. </w:t>
      </w:r>
      <w:r w:rsidRPr="004C1F9C">
        <w:rPr>
          <w:rFonts w:cs="Arial"/>
          <w:b/>
          <w:bCs/>
          <w:color w:val="auto"/>
          <w:szCs w:val="20"/>
          <w:u w:val="single"/>
          <w:lang w:val="es-CL"/>
        </w:rPr>
        <w:t>Renuncia</w:t>
      </w:r>
      <w:r w:rsidRPr="004C1F9C">
        <w:rPr>
          <w:rFonts w:cs="Arial"/>
          <w:color w:val="auto"/>
          <w:szCs w:val="20"/>
          <w:lang w:val="es-CL"/>
        </w:rPr>
        <w:t>. No se renunciará a ningún derecho de ninguna de las partes excepto mediante notificación por escrito firmada por cada una de las partes. Cualquier incumplimiento, retraso o tolerancia de cualquiera de las partes para hacer cumplir cualquier cláusula de este Contrato no se interpretarán como una renuncia continua de los derechos de esa parte en virtud del Contrato.</w:t>
      </w:r>
    </w:p>
    <w:p w14:paraId="5CEA70D9" w14:textId="77777777" w:rsidR="004C1F9C" w:rsidRPr="004C1F9C" w:rsidRDefault="004C1F9C" w:rsidP="004C1F9C">
      <w:pPr>
        <w:ind w:left="720" w:hanging="436"/>
        <w:jc w:val="both"/>
        <w:rPr>
          <w:rFonts w:cs="Arial"/>
          <w:color w:val="auto"/>
          <w:szCs w:val="20"/>
          <w:lang w:val="es-CL"/>
        </w:rPr>
      </w:pPr>
    </w:p>
    <w:p w14:paraId="28F82287"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lastRenderedPageBreak/>
        <w:t xml:space="preserve">16.5. </w:t>
      </w:r>
      <w:r w:rsidRPr="004C1F9C">
        <w:rPr>
          <w:rFonts w:cs="Arial"/>
          <w:b/>
          <w:bCs/>
          <w:color w:val="auto"/>
          <w:szCs w:val="20"/>
          <w:u w:val="single"/>
          <w:lang w:val="es-CL"/>
        </w:rPr>
        <w:t>Terceros Beneficiarios</w:t>
      </w:r>
      <w:r w:rsidRPr="004C1F9C">
        <w:rPr>
          <w:rFonts w:cs="Arial"/>
          <w:color w:val="auto"/>
          <w:szCs w:val="20"/>
          <w:lang w:val="es-CL"/>
        </w:rPr>
        <w:t xml:space="preserve">. A menos que se designe específicamente en lo Pedido, las partes no confieren ningún derecho o recurso a ninguna persona que no sean las partes de este Contrato / Pedido y sus respectivos sucesores y cesionarios permitidos. No </w:t>
      </w:r>
      <w:proofErr w:type="gramStart"/>
      <w:r w:rsidRPr="004C1F9C">
        <w:rPr>
          <w:rFonts w:cs="Arial"/>
          <w:color w:val="auto"/>
          <w:szCs w:val="20"/>
          <w:lang w:val="es-CL"/>
        </w:rPr>
        <w:t>obstante</w:t>
      </w:r>
      <w:proofErr w:type="gramEnd"/>
      <w:r w:rsidRPr="004C1F9C">
        <w:rPr>
          <w:rFonts w:cs="Arial"/>
          <w:color w:val="auto"/>
          <w:szCs w:val="20"/>
          <w:lang w:val="es-CL"/>
        </w:rPr>
        <w:t xml:space="preserve"> lo anterior, Hexagon </w:t>
      </w:r>
      <w:proofErr w:type="spellStart"/>
      <w:r w:rsidRPr="004C1F9C">
        <w:rPr>
          <w:rFonts w:cs="Arial"/>
          <w:color w:val="auto"/>
          <w:szCs w:val="20"/>
          <w:lang w:val="es-CL"/>
        </w:rPr>
        <w:t>Mining</w:t>
      </w:r>
      <w:proofErr w:type="spellEnd"/>
      <w:r w:rsidRPr="004C1F9C">
        <w:rPr>
          <w:rFonts w:cs="Arial"/>
          <w:color w:val="auto"/>
          <w:szCs w:val="20"/>
          <w:lang w:val="es-CL"/>
        </w:rPr>
        <w:t xml:space="preserve"> Inc. es un tercero beneficiario previsto de este Contrato con plenos derechos para hacer cumplir cualquiera o todos los términos de este Contrato. No hay otros terceros beneficiarios de este Contrato.</w:t>
      </w:r>
    </w:p>
    <w:p w14:paraId="52516BE2" w14:textId="77777777" w:rsidR="004C1F9C" w:rsidRPr="009104A5" w:rsidRDefault="004C1F9C" w:rsidP="004C1F9C">
      <w:pPr>
        <w:ind w:left="720" w:hanging="436"/>
        <w:jc w:val="both"/>
        <w:rPr>
          <w:rFonts w:cs="Arial"/>
          <w:szCs w:val="20"/>
          <w:lang w:val="es-CL"/>
        </w:rPr>
      </w:pPr>
    </w:p>
    <w:p w14:paraId="18A4AAF3"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16.6. </w:t>
      </w:r>
      <w:r w:rsidRPr="004C1F9C">
        <w:rPr>
          <w:rFonts w:cs="Arial"/>
          <w:b/>
          <w:bCs/>
          <w:color w:val="auto"/>
          <w:szCs w:val="20"/>
          <w:u w:val="single"/>
          <w:lang w:val="es-CL"/>
        </w:rPr>
        <w:t>Cesión / Subcontratación</w:t>
      </w:r>
      <w:r w:rsidRPr="004C1F9C">
        <w:rPr>
          <w:rFonts w:cs="Arial"/>
          <w:color w:val="auto"/>
          <w:szCs w:val="20"/>
          <w:lang w:val="es-CL"/>
        </w:rPr>
        <w:t>. Ninguna de las partes asignará ni subcontratará ninguna obligación o derecho en virtud del Contrato sin el consentimiento previo por escrito de la otra parte, y dicho consentimiento no se denegará injustificadamente. Cualquier cesión o subcontratación que viole esta disposición es nula. Sin perjuicio de cualquier disposición en contrario, cualquiera de las partes puede ceder sus derechos y obligaciones en virtud del Contrato a cualquier filial o casa matriz. Se proporcionará un aviso por escrito de dicha asignación de manera oportuna.</w:t>
      </w:r>
    </w:p>
    <w:p w14:paraId="003EEAB2" w14:textId="77777777" w:rsidR="004C1F9C" w:rsidRPr="004C1F9C" w:rsidRDefault="004C1F9C" w:rsidP="004C1F9C">
      <w:pPr>
        <w:ind w:left="720" w:hanging="436"/>
        <w:jc w:val="both"/>
        <w:rPr>
          <w:rFonts w:cs="Arial"/>
          <w:color w:val="auto"/>
          <w:szCs w:val="20"/>
          <w:lang w:val="es-CL"/>
        </w:rPr>
      </w:pPr>
    </w:p>
    <w:p w14:paraId="08BE6DE8"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16.7. </w:t>
      </w:r>
      <w:r w:rsidRPr="004C1F9C">
        <w:rPr>
          <w:rFonts w:cs="Arial"/>
          <w:b/>
          <w:bCs/>
          <w:color w:val="auto"/>
          <w:szCs w:val="20"/>
          <w:u w:val="single"/>
          <w:lang w:val="es-CL"/>
        </w:rPr>
        <w:t>Seguro</w:t>
      </w:r>
      <w:r w:rsidRPr="004C1F9C">
        <w:rPr>
          <w:rFonts w:cs="Arial"/>
          <w:color w:val="auto"/>
          <w:szCs w:val="20"/>
          <w:lang w:val="es-CL"/>
        </w:rPr>
        <w:t>. Ambas partes mantendrán en vigencia en todo momento la cobertura de seguro adecuada de acuerdo con el tipo de suministro o las disposiciones establecidas en este Contrato, así como con los estándares de la industria de una aseguradora acreditada, incluyendo según corresponda, compensación de trabajadores, viajes, gastos generales, cobertura de responsabilidad civil general y profesional. Previa solicitud, el Cliente proporcionará a Hexagon un comprobante de dicho seguro que nombra a Hexagon como beneficiario de la póliza respectiva.</w:t>
      </w:r>
    </w:p>
    <w:p w14:paraId="0C8B1C73" w14:textId="77777777" w:rsidR="004C1F9C" w:rsidRPr="004C1F9C" w:rsidRDefault="004C1F9C" w:rsidP="004C1F9C">
      <w:pPr>
        <w:ind w:left="720" w:hanging="436"/>
        <w:jc w:val="both"/>
        <w:rPr>
          <w:rFonts w:cs="Arial"/>
          <w:color w:val="auto"/>
          <w:szCs w:val="20"/>
          <w:lang w:val="es-CL"/>
        </w:rPr>
      </w:pPr>
    </w:p>
    <w:p w14:paraId="4FCF2E5A"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16.8. </w:t>
      </w:r>
      <w:r w:rsidRPr="004C1F9C">
        <w:rPr>
          <w:rFonts w:cs="Arial"/>
          <w:b/>
          <w:bCs/>
          <w:color w:val="auto"/>
          <w:szCs w:val="20"/>
          <w:u w:val="single"/>
          <w:lang w:val="es-CL"/>
        </w:rPr>
        <w:t>Idioma</w:t>
      </w:r>
      <w:r w:rsidRPr="004C1F9C">
        <w:rPr>
          <w:rFonts w:cs="Arial"/>
          <w:color w:val="auto"/>
          <w:szCs w:val="20"/>
          <w:lang w:val="es-CL"/>
        </w:rPr>
        <w:t xml:space="preserve">. En caso de que este Contrato o cualquier parte </w:t>
      </w:r>
      <w:proofErr w:type="gramStart"/>
      <w:r w:rsidRPr="004C1F9C">
        <w:rPr>
          <w:rFonts w:cs="Arial"/>
          <w:color w:val="auto"/>
          <w:szCs w:val="20"/>
          <w:lang w:val="es-CL"/>
        </w:rPr>
        <w:t>del mismo</w:t>
      </w:r>
      <w:proofErr w:type="gramEnd"/>
      <w:r w:rsidRPr="004C1F9C">
        <w:rPr>
          <w:rFonts w:cs="Arial"/>
          <w:color w:val="auto"/>
          <w:szCs w:val="20"/>
          <w:lang w:val="es-CL"/>
        </w:rPr>
        <w:t xml:space="preserve"> se traduzca o esté disponible en cualquier otro idioma, la versión en inglés prevalecerá en todos los aspectos, excepto cuando la ley local aplicable establezca lo contrario.</w:t>
      </w:r>
    </w:p>
    <w:p w14:paraId="5A320152" w14:textId="77777777" w:rsidR="004C1F9C" w:rsidRPr="004C1F9C" w:rsidRDefault="004C1F9C" w:rsidP="004C1F9C">
      <w:pPr>
        <w:ind w:left="720" w:hanging="436"/>
        <w:jc w:val="both"/>
        <w:rPr>
          <w:rFonts w:cs="Arial"/>
          <w:color w:val="auto"/>
          <w:szCs w:val="20"/>
          <w:lang w:val="es-CL"/>
        </w:rPr>
      </w:pPr>
    </w:p>
    <w:p w14:paraId="4B699CCD" w14:textId="56B71821"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16,9. </w:t>
      </w:r>
      <w:r w:rsidRPr="004C1F9C">
        <w:rPr>
          <w:rFonts w:cs="Arial"/>
          <w:b/>
          <w:bCs/>
          <w:color w:val="auto"/>
          <w:szCs w:val="20"/>
          <w:u w:val="single"/>
          <w:lang w:val="es-CL"/>
        </w:rPr>
        <w:t>No Contratación</w:t>
      </w:r>
      <w:r w:rsidRPr="004C1F9C">
        <w:rPr>
          <w:rFonts w:cs="Arial"/>
          <w:color w:val="auto"/>
          <w:szCs w:val="20"/>
          <w:lang w:val="es-CL"/>
        </w:rPr>
        <w:t xml:space="preserve">. Durante la vigencia de este Contrato y por un período de un año a partir de entonces, el Cliente acepta que, sin el consentimiento previo por escrito de Hexagon, no empleará, solicitará, contratará ni </w:t>
      </w:r>
      <w:proofErr w:type="spellStart"/>
      <w:r w:rsidRPr="004C1F9C">
        <w:rPr>
          <w:rFonts w:cs="Arial"/>
          <w:color w:val="auto"/>
          <w:szCs w:val="20"/>
          <w:lang w:val="es-CL"/>
        </w:rPr>
        <w:t>locará</w:t>
      </w:r>
      <w:proofErr w:type="spellEnd"/>
      <w:r w:rsidRPr="004C1F9C">
        <w:rPr>
          <w:rFonts w:cs="Arial"/>
          <w:color w:val="auto"/>
          <w:szCs w:val="20"/>
          <w:lang w:val="es-CL"/>
        </w:rPr>
        <w:t xml:space="preserve"> los servicios de los Profesionales de Hexagon, directa</w:t>
      </w:r>
      <w:r w:rsidR="00A135BC">
        <w:rPr>
          <w:rFonts w:cs="Arial"/>
          <w:color w:val="auto"/>
          <w:szCs w:val="20"/>
          <w:lang w:val="es-CL"/>
        </w:rPr>
        <w:t xml:space="preserve"> o </w:t>
      </w:r>
      <w:r w:rsidRPr="004C1F9C">
        <w:rPr>
          <w:rFonts w:cs="Arial"/>
          <w:color w:val="auto"/>
          <w:szCs w:val="20"/>
          <w:lang w:val="es-CL"/>
        </w:rPr>
        <w:t>indirectamente. Si el Cliente incumple esta disposición, el Cliente es responsable ante Hexagon por una multa equivalente al treinta por ciento (30%) de la compensación base anual de dicho Profesional en su nuevo puesto. Hexagon puede solicitar una medida cautelar u otra medida equitativa. Esta disposición no restringirá el derecho del Cliente a solicitar o reclutar en general en los medios de comunicación.</w:t>
      </w:r>
    </w:p>
    <w:p w14:paraId="2DB14189" w14:textId="77777777" w:rsidR="004C1F9C" w:rsidRPr="004C1F9C" w:rsidRDefault="004C1F9C" w:rsidP="004C1F9C">
      <w:pPr>
        <w:ind w:left="720" w:hanging="436"/>
        <w:jc w:val="both"/>
        <w:rPr>
          <w:rFonts w:cs="Arial"/>
          <w:color w:val="auto"/>
          <w:szCs w:val="20"/>
          <w:lang w:val="es-CL"/>
        </w:rPr>
      </w:pPr>
    </w:p>
    <w:p w14:paraId="042BEF2D"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16.10. </w:t>
      </w:r>
      <w:r w:rsidRPr="004C1F9C">
        <w:rPr>
          <w:rFonts w:cs="Arial"/>
          <w:b/>
          <w:bCs/>
          <w:color w:val="auto"/>
          <w:szCs w:val="20"/>
          <w:u w:val="single"/>
          <w:lang w:val="es-CL"/>
        </w:rPr>
        <w:t>Supervivencia</w:t>
      </w:r>
      <w:r w:rsidRPr="004C1F9C">
        <w:rPr>
          <w:rFonts w:cs="Arial"/>
          <w:color w:val="auto"/>
          <w:szCs w:val="20"/>
          <w:lang w:val="es-CL"/>
        </w:rPr>
        <w:t>. Todas las disposiciones que están destinadas por su naturaleza a sobrevivir a la ejecución de este Contrato sobrevivirán a dicha ejecución y / o al vencimiento o terminación de este Contrato. Las partes acuerdan específicamente que los términos relevantes del Contrato relacionados con la responsabilidad, indemnización, garantías, exportación y protección de los derechos de propiedad intelectual e IC siguen siendo vinculantes permanentemente.</w:t>
      </w:r>
    </w:p>
    <w:p w14:paraId="500F09D6" w14:textId="77777777" w:rsidR="00ED2EDA" w:rsidRPr="004C1F9C" w:rsidRDefault="00ED2EDA" w:rsidP="00ED2EDA">
      <w:pPr>
        <w:ind w:left="567" w:hanging="387"/>
        <w:jc w:val="both"/>
        <w:rPr>
          <w:rFonts w:cs="Arial"/>
          <w:color w:val="auto"/>
          <w:szCs w:val="20"/>
        </w:rPr>
      </w:pPr>
    </w:p>
    <w:p w14:paraId="6C0FDEBC"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16.11. </w:t>
      </w:r>
      <w:r w:rsidRPr="004C1F9C">
        <w:rPr>
          <w:rFonts w:cs="Arial"/>
          <w:b/>
          <w:bCs/>
          <w:color w:val="auto"/>
          <w:szCs w:val="20"/>
          <w:u w:val="single"/>
          <w:lang w:val="es-CL"/>
        </w:rPr>
        <w:t>Notificaciones</w:t>
      </w:r>
      <w:r w:rsidRPr="004C1F9C">
        <w:rPr>
          <w:rFonts w:cs="Arial"/>
          <w:color w:val="auto"/>
          <w:szCs w:val="20"/>
          <w:lang w:val="es-CL"/>
        </w:rPr>
        <w:t xml:space="preserve">. Las notificaciones en virtud del Contrato se pueden entregar en mano, por correo a las direcciones de las partes especificadas en el Pedido, o por correo electrónico a sus representantes, y en el caso de Hexagon con una copia a </w:t>
      </w:r>
      <w:hyperlink r:id="rId11" w:history="1">
        <w:r w:rsidRPr="00843BBC">
          <w:rPr>
            <w:rStyle w:val="Hyperlink"/>
            <w:rFonts w:cs="Arial"/>
            <w:szCs w:val="20"/>
            <w:lang w:val="es-CL"/>
          </w:rPr>
          <w:t>legal.min@hexagonmining.com</w:t>
        </w:r>
      </w:hyperlink>
      <w:r w:rsidRPr="009104A5">
        <w:rPr>
          <w:rFonts w:cs="Arial"/>
          <w:szCs w:val="20"/>
          <w:lang w:val="es-CL"/>
        </w:rPr>
        <w:t xml:space="preserve">. </w:t>
      </w:r>
      <w:r w:rsidRPr="004C1F9C">
        <w:rPr>
          <w:rFonts w:cs="Arial"/>
          <w:color w:val="auto"/>
          <w:szCs w:val="20"/>
          <w:lang w:val="es-CL"/>
        </w:rPr>
        <w:t>La notificación se considerará recibida, en el caso de la entrega en mano, al momento de la entrega, y en el caso del correo, dentro de los tres (3) días posteriores al depósito en los servicios postales locales por correo registrado o certificado, con franqueo prepago y aviso de recibo solicitado; y en el caso del correo electrónico, cuando el destinatario reconoce haber recibido ese correo electrónico (con un "recibo de lectura" que constituye un acuse de recibo de un correo electrónico para los fines de esta cláusula).</w:t>
      </w:r>
    </w:p>
    <w:p w14:paraId="37E0C29D" w14:textId="77777777" w:rsidR="004C1F9C" w:rsidRPr="004C1F9C" w:rsidRDefault="004C1F9C" w:rsidP="004C1F9C">
      <w:pPr>
        <w:ind w:left="720" w:hanging="436"/>
        <w:jc w:val="both"/>
        <w:rPr>
          <w:rFonts w:cs="Arial"/>
          <w:color w:val="auto"/>
          <w:szCs w:val="20"/>
          <w:lang w:val="es-CL"/>
        </w:rPr>
      </w:pPr>
    </w:p>
    <w:p w14:paraId="4496E5AA"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16.12. </w:t>
      </w:r>
      <w:r w:rsidRPr="004C1F9C">
        <w:rPr>
          <w:rFonts w:cs="Arial"/>
          <w:b/>
          <w:bCs/>
          <w:color w:val="auto"/>
          <w:szCs w:val="20"/>
          <w:u w:val="single"/>
          <w:lang w:val="es-CL"/>
        </w:rPr>
        <w:t>Encabezados</w:t>
      </w:r>
      <w:r w:rsidRPr="004C1F9C">
        <w:rPr>
          <w:rFonts w:cs="Arial"/>
          <w:color w:val="auto"/>
          <w:szCs w:val="20"/>
          <w:lang w:val="es-CL"/>
        </w:rPr>
        <w:t>. Los títulos y subtítulos de las secciones son solo por conveniencia y no definen, limitan ni describen el alcance o la intención de ninguna disposición de este Contrato.</w:t>
      </w:r>
    </w:p>
    <w:p w14:paraId="6BF5826C" w14:textId="77777777" w:rsidR="004C1F9C" w:rsidRPr="004C1F9C" w:rsidRDefault="004C1F9C" w:rsidP="004C1F9C">
      <w:pPr>
        <w:ind w:left="720" w:hanging="436"/>
        <w:jc w:val="both"/>
        <w:rPr>
          <w:rFonts w:cs="Arial"/>
          <w:color w:val="auto"/>
          <w:szCs w:val="20"/>
          <w:lang w:val="es-CL"/>
        </w:rPr>
      </w:pPr>
    </w:p>
    <w:p w14:paraId="44995701"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lastRenderedPageBreak/>
        <w:t xml:space="preserve">16.13. </w:t>
      </w:r>
      <w:r w:rsidRPr="004C1F9C">
        <w:rPr>
          <w:rFonts w:cs="Arial"/>
          <w:b/>
          <w:bCs/>
          <w:color w:val="auto"/>
          <w:szCs w:val="20"/>
          <w:u w:val="single"/>
          <w:lang w:val="es-CL"/>
        </w:rPr>
        <w:t>Relación de las Partes</w:t>
      </w:r>
      <w:r w:rsidRPr="004C1F9C">
        <w:rPr>
          <w:rFonts w:cs="Arial"/>
          <w:color w:val="auto"/>
          <w:szCs w:val="20"/>
          <w:lang w:val="es-CL"/>
        </w:rPr>
        <w:t>. Cada Parte será en todo momento un contratista independiente de la otra Parte, y nada en este Contrato se interpretará como una asociación, equipo, empresa conjunta, representante, agencia o relación de empleador y empleado entre las Partes o entre cualquiera de las Partes y cualquiera de los empleados o subcontratistas respectivos de la otra Parte. Ninguna de las Partes en ningún momento se considerará un empleado de la otra Parte, ni tendrá derecho a ninguno de los beneficios proporcionados por la otra Parte a sus empleados y profesionales establecidos o no establecidos.</w:t>
      </w:r>
    </w:p>
    <w:p w14:paraId="49AB9F40" w14:textId="77777777" w:rsidR="004C1F9C" w:rsidRPr="004C1F9C" w:rsidRDefault="004C1F9C" w:rsidP="004C1F9C">
      <w:pPr>
        <w:ind w:left="720" w:hanging="436"/>
        <w:jc w:val="both"/>
        <w:rPr>
          <w:rFonts w:cs="Arial"/>
          <w:color w:val="auto"/>
          <w:szCs w:val="20"/>
          <w:lang w:val="es-CL"/>
        </w:rPr>
      </w:pPr>
    </w:p>
    <w:p w14:paraId="58092494"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16.14. </w:t>
      </w:r>
      <w:r w:rsidRPr="004C1F9C">
        <w:rPr>
          <w:rFonts w:cs="Arial"/>
          <w:b/>
          <w:bCs/>
          <w:color w:val="auto"/>
          <w:szCs w:val="20"/>
          <w:u w:val="single"/>
          <w:lang w:val="es-CL"/>
        </w:rPr>
        <w:t>Publicidad</w:t>
      </w:r>
      <w:r w:rsidRPr="004C1F9C">
        <w:rPr>
          <w:rFonts w:cs="Arial"/>
          <w:color w:val="auto"/>
          <w:szCs w:val="20"/>
          <w:lang w:val="es-CL"/>
        </w:rPr>
        <w:t>. Hexagon puede identificar al Cliente como un cliente de Hexagon en los materiales de marketing de Hexagon y en sus listas de clientes.</w:t>
      </w:r>
    </w:p>
    <w:p w14:paraId="71CD22CC" w14:textId="77777777" w:rsidR="004C1F9C" w:rsidRPr="004C1F9C" w:rsidRDefault="004C1F9C" w:rsidP="004C1F9C">
      <w:pPr>
        <w:ind w:left="720" w:hanging="436"/>
        <w:jc w:val="both"/>
        <w:rPr>
          <w:rFonts w:cs="Arial"/>
          <w:color w:val="auto"/>
          <w:szCs w:val="20"/>
          <w:lang w:val="es-CL"/>
        </w:rPr>
      </w:pPr>
    </w:p>
    <w:p w14:paraId="65BCCE90"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16.15. </w:t>
      </w:r>
      <w:r w:rsidRPr="004C1F9C">
        <w:rPr>
          <w:rFonts w:cs="Arial"/>
          <w:b/>
          <w:bCs/>
          <w:color w:val="auto"/>
          <w:szCs w:val="20"/>
          <w:u w:val="single"/>
          <w:lang w:val="es-CL"/>
        </w:rPr>
        <w:t>Estadísticas de Uso y Datos del Cliente.</w:t>
      </w:r>
      <w:r w:rsidRPr="004C1F9C">
        <w:rPr>
          <w:rFonts w:cs="Arial"/>
          <w:color w:val="auto"/>
          <w:szCs w:val="20"/>
          <w:lang w:val="es-CL"/>
        </w:rPr>
        <w:t xml:space="preserve"> Para mejorar los Productos, Hexagon puede recopilar estadísticas de uso anónimas y datos relacionados con el uso de los Productos de sus clientes. Al utilizar los Productos, el Cliente da su consentimiento para permitir la recopilación de datos y estadísticas de uso anónimos. Si el Cliente no da su consentimiento para dicha recopilación de datos, el Cliente no debe acceder ni utilizar los Productos.</w:t>
      </w:r>
    </w:p>
    <w:p w14:paraId="174D5E3B" w14:textId="77777777" w:rsidR="004C1F9C" w:rsidRPr="004C1F9C" w:rsidRDefault="004C1F9C" w:rsidP="004C1F9C">
      <w:pPr>
        <w:ind w:left="720" w:hanging="436"/>
        <w:jc w:val="both"/>
        <w:rPr>
          <w:rFonts w:cs="Arial"/>
          <w:color w:val="auto"/>
          <w:szCs w:val="20"/>
          <w:lang w:val="es-CL"/>
        </w:rPr>
      </w:pPr>
    </w:p>
    <w:p w14:paraId="0E24B0D6"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16.16 </w:t>
      </w:r>
      <w:r w:rsidRPr="004C1F9C">
        <w:rPr>
          <w:rFonts w:cs="Arial"/>
          <w:b/>
          <w:bCs/>
          <w:color w:val="auto"/>
          <w:szCs w:val="20"/>
          <w:u w:val="single"/>
          <w:lang w:val="es-CL"/>
        </w:rPr>
        <w:t>Privacidad y Protección de Datos.</w:t>
      </w:r>
      <w:r w:rsidRPr="004C1F9C">
        <w:rPr>
          <w:rFonts w:cs="Arial"/>
          <w:color w:val="auto"/>
          <w:szCs w:val="20"/>
          <w:lang w:val="es-CL"/>
        </w:rPr>
        <w:t xml:space="preserve"> Cada Parte garantiza a la otra Parte que ha cumplido con la Ley de Privacidad de Protección de Datos aplicable al obtener cualquier Información Personal divulgada por ella de conformidad con este Contrato.</w:t>
      </w:r>
    </w:p>
    <w:p w14:paraId="30A0CC72" w14:textId="77777777" w:rsidR="004C1F9C" w:rsidRPr="004C1F9C" w:rsidRDefault="004C1F9C" w:rsidP="004C1F9C">
      <w:pPr>
        <w:ind w:left="720" w:hanging="436"/>
        <w:jc w:val="both"/>
        <w:rPr>
          <w:rFonts w:cs="Arial"/>
          <w:color w:val="auto"/>
          <w:szCs w:val="20"/>
          <w:lang w:val="es-CL"/>
        </w:rPr>
      </w:pPr>
    </w:p>
    <w:p w14:paraId="23D00EED"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16.17. </w:t>
      </w:r>
      <w:r w:rsidRPr="004C1F9C">
        <w:rPr>
          <w:rFonts w:cs="Arial"/>
          <w:b/>
          <w:bCs/>
          <w:color w:val="auto"/>
          <w:szCs w:val="20"/>
          <w:u w:val="single"/>
          <w:lang w:val="es-CL"/>
        </w:rPr>
        <w:t>Recuperación de Datos Tras La Terminación</w:t>
      </w:r>
      <w:r w:rsidRPr="004C1F9C">
        <w:rPr>
          <w:rFonts w:cs="Arial"/>
          <w:color w:val="auto"/>
          <w:szCs w:val="20"/>
          <w:lang w:val="es-CL"/>
        </w:rPr>
        <w:t>. El Cliente notificará por escrito a Hexagon dentro de los treinta (30) días posteriores a la fecha de terminación o vencimiento de cualquier información electrónica que el Cliente solicite a Hexagon en relación con los Productos. Después del plazo de 30 días, Hexagon se reserva el derecho de eliminar permanentemente todos los datos asociados con el Cliente. Cualquier dato entregado al Cliente después del plazo de 30 días se proporcionará solo mediante el pago de tarifa específica.</w:t>
      </w:r>
    </w:p>
    <w:p w14:paraId="7FD967F2" w14:textId="77777777" w:rsidR="004C1F9C" w:rsidRPr="004C1F9C" w:rsidRDefault="004C1F9C" w:rsidP="004C1F9C">
      <w:pPr>
        <w:ind w:left="720" w:hanging="436"/>
        <w:jc w:val="both"/>
        <w:rPr>
          <w:rFonts w:cs="Arial"/>
          <w:color w:val="auto"/>
          <w:szCs w:val="20"/>
          <w:lang w:val="es-CL"/>
        </w:rPr>
      </w:pPr>
    </w:p>
    <w:p w14:paraId="5275A48D"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16.18. </w:t>
      </w:r>
      <w:r w:rsidRPr="004C1F9C">
        <w:rPr>
          <w:rFonts w:cs="Arial"/>
          <w:b/>
          <w:bCs/>
          <w:color w:val="auto"/>
          <w:szCs w:val="20"/>
          <w:u w:val="single"/>
          <w:lang w:val="es-CL"/>
        </w:rPr>
        <w:t>Cumplimiento de Las Leyes Anticorrupción</w:t>
      </w:r>
      <w:r w:rsidRPr="004C1F9C">
        <w:rPr>
          <w:rFonts w:cs="Arial"/>
          <w:color w:val="auto"/>
          <w:szCs w:val="20"/>
          <w:lang w:val="es-CL"/>
        </w:rPr>
        <w:t xml:space="preserve">. Hexagon y el Cliente acuerdan que en todo momento cumplirán con todos los requisitos legales relacionados con la lucha contra el soborno, la corrupción y el blanqueo de capitales (y no deben hacer nada, ni omitir hacer nada, para que la otra parte esté en incumplimiento de dichos requisitos legales). Además de lo anterior, Hexagon: (a) garantiza que ni ella ni ninguna de sus afiliadas, subsidiarias, representantes, empleados, agentes, o contratistas han sido declarados culpables de ningún delito y no han sido objeto de ninguna investigación o procedimientos de ejecución por parte de cualquier organismo gubernamental, administrativo o regulador con respecto a cualquier delito o presunto delito, según las leyes, normas y reglamentos aplicables relacionados con las prácticas </w:t>
      </w:r>
      <w:proofErr w:type="spellStart"/>
      <w:r w:rsidRPr="004C1F9C">
        <w:rPr>
          <w:rFonts w:cs="Arial"/>
          <w:color w:val="auto"/>
          <w:szCs w:val="20"/>
          <w:lang w:val="es-CL"/>
        </w:rPr>
        <w:t>anti-soborno</w:t>
      </w:r>
      <w:proofErr w:type="spellEnd"/>
      <w:r w:rsidRPr="004C1F9C">
        <w:rPr>
          <w:rFonts w:cs="Arial"/>
          <w:color w:val="auto"/>
          <w:szCs w:val="20"/>
          <w:lang w:val="es-CL"/>
        </w:rPr>
        <w:t xml:space="preserve">, anticorrupción y el </w:t>
      </w:r>
      <w:proofErr w:type="spellStart"/>
      <w:r w:rsidRPr="004C1F9C">
        <w:rPr>
          <w:rFonts w:cs="Arial"/>
          <w:color w:val="auto"/>
          <w:szCs w:val="20"/>
          <w:lang w:val="es-CL"/>
        </w:rPr>
        <w:t>anti-blanqueo</w:t>
      </w:r>
      <w:proofErr w:type="spellEnd"/>
      <w:r w:rsidRPr="004C1F9C">
        <w:rPr>
          <w:rFonts w:cs="Arial"/>
          <w:color w:val="auto"/>
          <w:szCs w:val="20"/>
          <w:lang w:val="es-CL"/>
        </w:rPr>
        <w:t xml:space="preserve"> de capitales; y (b) notificará al Cliente inmediatamente después de tener conocimiento de cualquier incumplimiento (o sospecha de incumplimiento) de esta cláusula.</w:t>
      </w:r>
    </w:p>
    <w:p w14:paraId="063695F5" w14:textId="77777777" w:rsidR="004C1F9C" w:rsidRPr="004C1F9C" w:rsidRDefault="004C1F9C" w:rsidP="004C1F9C">
      <w:pPr>
        <w:ind w:left="720" w:hanging="436"/>
        <w:jc w:val="both"/>
        <w:rPr>
          <w:rFonts w:cs="Arial"/>
          <w:color w:val="auto"/>
          <w:szCs w:val="20"/>
          <w:lang w:val="es-CL"/>
        </w:rPr>
      </w:pPr>
    </w:p>
    <w:p w14:paraId="77239E95"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16.19. </w:t>
      </w:r>
      <w:r w:rsidRPr="004C1F9C">
        <w:rPr>
          <w:rFonts w:cs="Arial"/>
          <w:b/>
          <w:bCs/>
          <w:color w:val="auto"/>
          <w:szCs w:val="20"/>
          <w:u w:val="single"/>
          <w:lang w:val="es-CL"/>
        </w:rPr>
        <w:t>Restricciones de Exportación</w:t>
      </w:r>
      <w:r w:rsidRPr="004C1F9C">
        <w:rPr>
          <w:rFonts w:cs="Arial"/>
          <w:color w:val="auto"/>
          <w:szCs w:val="20"/>
          <w:lang w:val="es-CL"/>
        </w:rPr>
        <w:t>. Los Productos pueden estar sujetos a las regulaciones, órdenes u otras restricciones de los Estados Unidos ("</w:t>
      </w:r>
      <w:proofErr w:type="gramStart"/>
      <w:r w:rsidRPr="004C1F9C">
        <w:rPr>
          <w:rFonts w:cs="Arial"/>
          <w:color w:val="auto"/>
          <w:szCs w:val="20"/>
          <w:lang w:val="es-CL"/>
        </w:rPr>
        <w:t>EE.UU.</w:t>
      </w:r>
      <w:proofErr w:type="gramEnd"/>
      <w:r w:rsidRPr="004C1F9C">
        <w:rPr>
          <w:rFonts w:cs="Arial"/>
          <w:color w:val="auto"/>
          <w:szCs w:val="20"/>
          <w:lang w:val="es-CL"/>
        </w:rPr>
        <w:t>"), así como a las regulaciones, órdenes y restricciones aplicables al país donde se encuentra la entidad Hexagon relevante con respecto a la exportación de software, hardware, servicios, datos o derivados de los mismos. Sin perjuicio de cualquier otra disposición en este Contrato que indique lo contrario, el Cliente no exportará (o reexportará) directa o indirectamente los Productos de Hexagon o cualquier derivado de los mismos, ni permitirá el transbordo de los mismos, (i) en violación de este Contrato, o (</w:t>
      </w:r>
      <w:proofErr w:type="spellStart"/>
      <w:r w:rsidRPr="004C1F9C">
        <w:rPr>
          <w:rFonts w:cs="Arial"/>
          <w:color w:val="auto"/>
          <w:szCs w:val="20"/>
          <w:lang w:val="es-CL"/>
        </w:rPr>
        <w:t>ii</w:t>
      </w:r>
      <w:proofErr w:type="spellEnd"/>
      <w:r w:rsidRPr="004C1F9C">
        <w:rPr>
          <w:rFonts w:cs="Arial"/>
          <w:color w:val="auto"/>
          <w:szCs w:val="20"/>
          <w:lang w:val="es-CL"/>
        </w:rPr>
        <w:t>) (o a un nacional o residente de) Afganistán Cuba, Irán, Corea del Norte, Sudán, Siria, Venezuela o de cualquier otro país sujeto a sanciones económicas de los Estados Unidos u otros controles comerciales; o (</w:t>
      </w:r>
      <w:proofErr w:type="spellStart"/>
      <w:r w:rsidRPr="004C1F9C">
        <w:rPr>
          <w:rFonts w:cs="Arial"/>
          <w:color w:val="auto"/>
          <w:szCs w:val="20"/>
          <w:lang w:val="es-CL"/>
        </w:rPr>
        <w:t>iii</w:t>
      </w:r>
      <w:proofErr w:type="spellEnd"/>
      <w:r w:rsidRPr="004C1F9C">
        <w:rPr>
          <w:rFonts w:cs="Arial"/>
          <w:color w:val="auto"/>
          <w:szCs w:val="20"/>
          <w:lang w:val="es-CL"/>
        </w:rPr>
        <w:t>) a cualquier persona en la lista del Departamento del Tesoro de los EE.UU. de Nacionales Especialmente Designados y Personas Bloqueadas, Lista de Terroristas Especialmente Designados o Lista de Narcotraficantes Especialmente Designados o la Tabla de Órdenes de Denegación, Lista de Personas Denegadas, Lista de Partes No Verificadas del Departamento de Comercio de EE.UU., Lista de entidades, o la lista de Partes excluidas del Departamento de Estado de EE.UU., o (</w:t>
      </w:r>
      <w:proofErr w:type="spellStart"/>
      <w:r w:rsidRPr="004C1F9C">
        <w:rPr>
          <w:rFonts w:cs="Arial"/>
          <w:color w:val="auto"/>
          <w:szCs w:val="20"/>
          <w:lang w:val="es-CL"/>
        </w:rPr>
        <w:t>iv</w:t>
      </w:r>
      <w:proofErr w:type="spellEnd"/>
      <w:r w:rsidRPr="004C1F9C">
        <w:rPr>
          <w:rFonts w:cs="Arial"/>
          <w:color w:val="auto"/>
          <w:szCs w:val="20"/>
          <w:lang w:val="es-CL"/>
        </w:rPr>
        <w:t xml:space="preserve">) a cualquier país o destino para el que el gobierno de EE.UU. o la Agencia Gubernamental de EE.UU. requiera una </w:t>
      </w:r>
      <w:r w:rsidRPr="004C1F9C">
        <w:rPr>
          <w:rFonts w:cs="Arial"/>
          <w:color w:val="auto"/>
          <w:szCs w:val="20"/>
          <w:lang w:val="es-CL"/>
        </w:rPr>
        <w:lastRenderedPageBreak/>
        <w:t>licencia de exportación u otra aprobación para exportar sin haber obtenido primero dicha licencia u otra aprobación. En el caso del artículo (</w:t>
      </w:r>
      <w:proofErr w:type="spellStart"/>
      <w:r w:rsidRPr="004C1F9C">
        <w:rPr>
          <w:rFonts w:cs="Arial"/>
          <w:color w:val="auto"/>
          <w:szCs w:val="20"/>
          <w:lang w:val="es-CL"/>
        </w:rPr>
        <w:t>iv</w:t>
      </w:r>
      <w:proofErr w:type="spellEnd"/>
      <w:r w:rsidRPr="004C1F9C">
        <w:rPr>
          <w:rFonts w:cs="Arial"/>
          <w:color w:val="auto"/>
          <w:szCs w:val="20"/>
          <w:lang w:val="es-CL"/>
        </w:rPr>
        <w:t xml:space="preserve">), Hexagon proporcionará un número de control de exportación para los Productos Hexagon </w:t>
      </w:r>
      <w:proofErr w:type="spellStart"/>
      <w:r w:rsidRPr="004C1F9C">
        <w:rPr>
          <w:rFonts w:cs="Arial"/>
          <w:color w:val="auto"/>
          <w:szCs w:val="20"/>
          <w:lang w:val="es-CL"/>
        </w:rPr>
        <w:t>a</w:t>
      </w:r>
      <w:proofErr w:type="spellEnd"/>
      <w:r w:rsidRPr="004C1F9C">
        <w:rPr>
          <w:rFonts w:cs="Arial"/>
          <w:color w:val="auto"/>
          <w:szCs w:val="20"/>
          <w:lang w:val="es-CL"/>
        </w:rPr>
        <w:t xml:space="preserve"> pedido. El Cliente reconoce y acepta que los numerales (i) - (</w:t>
      </w:r>
      <w:proofErr w:type="spellStart"/>
      <w:r w:rsidRPr="004C1F9C">
        <w:rPr>
          <w:rFonts w:cs="Arial"/>
          <w:color w:val="auto"/>
          <w:szCs w:val="20"/>
          <w:lang w:val="es-CL"/>
        </w:rPr>
        <w:t>iv</w:t>
      </w:r>
      <w:proofErr w:type="spellEnd"/>
      <w:r w:rsidRPr="004C1F9C">
        <w:rPr>
          <w:rFonts w:cs="Arial"/>
          <w:color w:val="auto"/>
          <w:szCs w:val="20"/>
          <w:lang w:val="es-CL"/>
        </w:rPr>
        <w:t>) pueden cambiar de vez en cuando, y el Cliente garantizará la cooperación con las leyes vigentes.</w:t>
      </w:r>
    </w:p>
    <w:p w14:paraId="2C87BE61" w14:textId="77777777" w:rsidR="004C1F9C" w:rsidRPr="004C1F9C" w:rsidRDefault="004C1F9C" w:rsidP="004C1F9C">
      <w:pPr>
        <w:ind w:left="720" w:hanging="436"/>
        <w:jc w:val="both"/>
        <w:rPr>
          <w:rFonts w:cs="Arial"/>
          <w:color w:val="auto"/>
          <w:szCs w:val="20"/>
          <w:lang w:val="es-CL"/>
        </w:rPr>
      </w:pPr>
    </w:p>
    <w:p w14:paraId="6E9F59A4"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16.20. </w:t>
      </w:r>
      <w:r w:rsidRPr="004C1F9C">
        <w:rPr>
          <w:rFonts w:cs="Arial"/>
          <w:b/>
          <w:bCs/>
          <w:color w:val="auto"/>
          <w:szCs w:val="20"/>
          <w:u w:val="single"/>
          <w:lang w:val="es-CL"/>
        </w:rPr>
        <w:t>Contrapartes</w:t>
      </w:r>
      <w:r w:rsidRPr="004C1F9C">
        <w:rPr>
          <w:rFonts w:cs="Arial"/>
          <w:color w:val="auto"/>
          <w:szCs w:val="20"/>
          <w:lang w:val="es-CL"/>
        </w:rPr>
        <w:t>. Este Contrato puede ser ejecutado en una o más contrapartes, cada una de las cuales se considerará original, y todas en conjunto se considerarán como un solo y mismo instrumento. Una copia de este Contrato firmada por cualquiera de las partes y transmitida por fax o, en la medida en que lo permita la ley aplicable, suscrita mediante firmas electrónicas, será vinculante para las partes como en forma original, firmada y entregada en persona.</w:t>
      </w:r>
    </w:p>
    <w:p w14:paraId="723ED093" w14:textId="77777777" w:rsidR="004C1F9C" w:rsidRPr="004C1F9C" w:rsidRDefault="004C1F9C" w:rsidP="004C1F9C">
      <w:pPr>
        <w:ind w:left="720" w:hanging="436"/>
        <w:jc w:val="both"/>
        <w:rPr>
          <w:rFonts w:cs="Arial"/>
          <w:color w:val="auto"/>
          <w:szCs w:val="20"/>
          <w:lang w:val="es-CL"/>
        </w:rPr>
      </w:pPr>
    </w:p>
    <w:p w14:paraId="6ED49C19"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16.21. </w:t>
      </w:r>
      <w:r w:rsidRPr="004C1F9C">
        <w:rPr>
          <w:rFonts w:cs="Arial"/>
          <w:b/>
          <w:bCs/>
          <w:color w:val="auto"/>
          <w:szCs w:val="20"/>
          <w:u w:val="single"/>
          <w:lang w:val="es-CL"/>
        </w:rPr>
        <w:t>Orden de Precedencia</w:t>
      </w:r>
      <w:r w:rsidRPr="004C1F9C">
        <w:rPr>
          <w:rFonts w:cs="Arial"/>
          <w:color w:val="auto"/>
          <w:szCs w:val="20"/>
          <w:lang w:val="es-CL"/>
        </w:rPr>
        <w:t>. En el caso de cualquier inconsistencia o discrepancia, prevalecerá el siguiente orden de precedencia: (i) Propuesta / Cotización de Hexagon; (</w:t>
      </w:r>
      <w:proofErr w:type="spellStart"/>
      <w:r w:rsidRPr="004C1F9C">
        <w:rPr>
          <w:rFonts w:cs="Arial"/>
          <w:color w:val="auto"/>
          <w:szCs w:val="20"/>
          <w:lang w:val="es-CL"/>
        </w:rPr>
        <w:t>ii</w:t>
      </w:r>
      <w:proofErr w:type="spellEnd"/>
      <w:r w:rsidRPr="004C1F9C">
        <w:rPr>
          <w:rFonts w:cs="Arial"/>
          <w:color w:val="auto"/>
          <w:szCs w:val="20"/>
          <w:lang w:val="es-CL"/>
        </w:rPr>
        <w:t>) estos Términos y Condiciones Generales; (</w:t>
      </w:r>
      <w:proofErr w:type="spellStart"/>
      <w:r w:rsidRPr="004C1F9C">
        <w:rPr>
          <w:rFonts w:cs="Arial"/>
          <w:color w:val="auto"/>
          <w:szCs w:val="20"/>
          <w:lang w:val="es-CL"/>
        </w:rPr>
        <w:t>iii</w:t>
      </w:r>
      <w:proofErr w:type="spellEnd"/>
      <w:r w:rsidRPr="004C1F9C">
        <w:rPr>
          <w:rFonts w:cs="Arial"/>
          <w:color w:val="auto"/>
          <w:szCs w:val="20"/>
          <w:lang w:val="es-CL"/>
        </w:rPr>
        <w:t>) las Condiciones Especiales (Anexo) y (</w:t>
      </w:r>
      <w:proofErr w:type="spellStart"/>
      <w:r w:rsidRPr="004C1F9C">
        <w:rPr>
          <w:rFonts w:cs="Arial"/>
          <w:color w:val="auto"/>
          <w:szCs w:val="20"/>
          <w:lang w:val="es-CL"/>
        </w:rPr>
        <w:t>iv</w:t>
      </w:r>
      <w:proofErr w:type="spellEnd"/>
      <w:r w:rsidRPr="004C1F9C">
        <w:rPr>
          <w:rFonts w:cs="Arial"/>
          <w:color w:val="auto"/>
          <w:szCs w:val="20"/>
          <w:lang w:val="es-CL"/>
        </w:rPr>
        <w:t>) las Órdenes / Pedidos de Compra emitidas por el Cliente.</w:t>
      </w:r>
    </w:p>
    <w:p w14:paraId="6D755F4B" w14:textId="77777777" w:rsidR="004C1F9C" w:rsidRPr="004C1F9C" w:rsidRDefault="004C1F9C" w:rsidP="004C1F9C">
      <w:pPr>
        <w:ind w:left="720" w:hanging="436"/>
        <w:jc w:val="both"/>
        <w:rPr>
          <w:rFonts w:cs="Arial"/>
          <w:color w:val="auto"/>
          <w:szCs w:val="20"/>
          <w:lang w:val="es-CL"/>
        </w:rPr>
      </w:pPr>
    </w:p>
    <w:p w14:paraId="4AD5B5F5" w14:textId="77777777" w:rsidR="004C1F9C" w:rsidRPr="004C1F9C" w:rsidRDefault="004C1F9C" w:rsidP="004C1F9C">
      <w:pPr>
        <w:ind w:left="720" w:hanging="436"/>
        <w:jc w:val="both"/>
        <w:rPr>
          <w:rFonts w:cs="Arial"/>
          <w:color w:val="auto"/>
          <w:szCs w:val="20"/>
          <w:lang w:val="es-CL"/>
        </w:rPr>
      </w:pPr>
      <w:r w:rsidRPr="004C1F9C">
        <w:rPr>
          <w:rFonts w:cs="Arial"/>
          <w:color w:val="auto"/>
          <w:szCs w:val="20"/>
          <w:lang w:val="es-CL"/>
        </w:rPr>
        <w:t xml:space="preserve">16.22. </w:t>
      </w:r>
      <w:r w:rsidRPr="004C1F9C">
        <w:rPr>
          <w:rFonts w:cs="Arial"/>
          <w:b/>
          <w:bCs/>
          <w:color w:val="auto"/>
          <w:szCs w:val="20"/>
          <w:u w:val="single"/>
          <w:lang w:val="es-CL"/>
        </w:rPr>
        <w:t>Formación de Contrato</w:t>
      </w:r>
      <w:r w:rsidRPr="004C1F9C">
        <w:rPr>
          <w:rFonts w:cs="Arial"/>
          <w:color w:val="auto"/>
          <w:szCs w:val="20"/>
          <w:lang w:val="es-CL"/>
        </w:rPr>
        <w:t>. Estos términos y condiciones (junto con cualquier Propuesta o Cotización) se aplican al Contrato celebrado con el Cliente, ya sea como una oferta o como una aceptación de una oferta), y prevalecerán, en caso de cualquier conflicto entre ellos y los términos del Cliente. Cualquier término y condición propuesto, publicado o enviado por el Cliente a Hexagon o referido de otro modo en cualquier documento o material proporcionado por el Cliente a Hexagon (incluidos los términos y condiciones publicados en cualquier sitio de internet o contenidos en cualquier proceso de pedido en línea, ya sea o no) reconocidos por Hexagon) no forman parte (y están expresamente excluidos) de este Contrato. Si el Cliente proporciona, hace referencia, envía o utiliza términos y condiciones distintos a los incluidos en este documento (incluso como parte de la presentación de una Orden o Pedido de Compra), dichos términos y condiciones no formarán parte ni se incorporarán a este Contrato.</w:t>
      </w:r>
    </w:p>
    <w:p w14:paraId="2FDBA89B" w14:textId="77777777" w:rsidR="00A2584F" w:rsidRPr="00EB0EBC" w:rsidRDefault="00A2584F" w:rsidP="00A2584F">
      <w:pPr>
        <w:pStyle w:val="Subtitle"/>
        <w:rPr>
          <w:color w:val="auto"/>
        </w:rPr>
      </w:pPr>
    </w:p>
    <w:tbl>
      <w:tblPr>
        <w:tblStyle w:val="TableGrid"/>
        <w:tblpPr w:horzAnchor="margin" w:tblpYSpec="bottom"/>
        <w:tblOverlap w:val="never"/>
        <w:tblW w:w="0" w:type="auto"/>
        <w:tblLook w:val="04A0" w:firstRow="1" w:lastRow="0" w:firstColumn="1" w:lastColumn="0" w:noHBand="0" w:noVBand="1"/>
      </w:tblPr>
      <w:tblGrid>
        <w:gridCol w:w="8959"/>
      </w:tblGrid>
      <w:tr w:rsidR="00EB0EBC" w:rsidRPr="00EB0EBC" w14:paraId="73D954C5" w14:textId="77777777" w:rsidTr="00ED2EDA">
        <w:trPr>
          <w:trHeight w:val="630"/>
        </w:trPr>
        <w:tc>
          <w:tcPr>
            <w:tcW w:w="8959" w:type="dxa"/>
          </w:tcPr>
          <w:p w14:paraId="18E0099B" w14:textId="77777777" w:rsidR="00B57080" w:rsidRPr="00EB0EBC" w:rsidRDefault="00B57080" w:rsidP="00B57080">
            <w:pPr>
              <w:pStyle w:val="Category"/>
              <w:rPr>
                <w:color w:val="auto"/>
              </w:rPr>
            </w:pPr>
          </w:p>
          <w:p w14:paraId="65DD3F7C" w14:textId="48935ECA" w:rsidR="00B57080" w:rsidRPr="00EB0EBC" w:rsidRDefault="00B57080" w:rsidP="00B57080">
            <w:pPr>
              <w:pStyle w:val="Category"/>
              <w:rPr>
                <w:color w:val="auto"/>
              </w:rPr>
            </w:pPr>
            <w:r w:rsidRPr="00EB0EBC">
              <w:rPr>
                <w:color w:val="auto"/>
              </w:rPr>
              <w:fldChar w:fldCharType="begin"/>
            </w:r>
            <w:r w:rsidRPr="00EB0EBC">
              <w:rPr>
                <w:color w:val="auto"/>
              </w:rPr>
              <w:instrText xml:space="preserve"> date \@ "d MMMM YYYY" \mergeformat </w:instrText>
            </w:r>
            <w:r w:rsidRPr="00EB0EBC">
              <w:rPr>
                <w:color w:val="auto"/>
              </w:rPr>
              <w:fldChar w:fldCharType="separate"/>
            </w:r>
            <w:r w:rsidR="00170AC5">
              <w:rPr>
                <w:noProof/>
                <w:color w:val="auto"/>
              </w:rPr>
              <w:t>11 October 2021</w:t>
            </w:r>
            <w:r w:rsidRPr="00EB0EBC">
              <w:rPr>
                <w:color w:val="auto"/>
              </w:rPr>
              <w:fldChar w:fldCharType="end"/>
            </w:r>
          </w:p>
        </w:tc>
      </w:tr>
    </w:tbl>
    <w:p w14:paraId="363C3C44" w14:textId="77777777" w:rsidR="00220D05" w:rsidRPr="00EB0EBC" w:rsidRDefault="00220D05" w:rsidP="00EB0EBC">
      <w:pPr>
        <w:pStyle w:val="TOCHeading"/>
        <w:rPr>
          <w:color w:val="auto"/>
        </w:rPr>
      </w:pPr>
    </w:p>
    <w:sectPr w:rsidR="00220D05" w:rsidRPr="00EB0EBC" w:rsidSect="00EB0EBC">
      <w:headerReference w:type="default" r:id="rId12"/>
      <w:footerReference w:type="default" r:id="rId13"/>
      <w:pgSz w:w="11907" w:h="16840" w:code="9"/>
      <w:pgMar w:top="2160" w:right="1440" w:bottom="1440" w:left="1440" w:header="133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A0582" w14:textId="77777777" w:rsidR="00855E0C" w:rsidRDefault="00855E0C" w:rsidP="00FE141F">
      <w:r>
        <w:separator/>
      </w:r>
    </w:p>
  </w:endnote>
  <w:endnote w:type="continuationSeparator" w:id="0">
    <w:p w14:paraId="106A3318" w14:textId="77777777" w:rsidR="00855E0C" w:rsidRDefault="00855E0C"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1)">
    <w:altName w:val="Arial"/>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xagon Akkurat Light">
    <w:panose1 w:val="020B0404020101010102"/>
    <w:charset w:val="82"/>
    <w:family w:val="swiss"/>
    <w:notTrueType/>
    <w:pitch w:val="variable"/>
    <w:sig w:usb0="A10000FF" w:usb1="5906A47B" w:usb2="00000018" w:usb3="00000000" w:csb0="00200093" w:csb1="00000000"/>
  </w:font>
  <w:font w:name="Hexagon Akkurat">
    <w:panose1 w:val="020B0504020101010102"/>
    <w:charset w:val="82"/>
    <w:family w:val="swiss"/>
    <w:notTrueType/>
    <w:pitch w:val="variable"/>
    <w:sig w:usb0="A10000FF" w:usb1="5906A47B" w:usb2="00000018" w:usb3="00000000" w:csb0="002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005812"/>
      <w:docPartObj>
        <w:docPartGallery w:val="Page Numbers (Bottom of Page)"/>
        <w:docPartUnique/>
      </w:docPartObj>
    </w:sdtPr>
    <w:sdtContent>
      <w:sdt>
        <w:sdtPr>
          <w:id w:val="-1769616900"/>
          <w:docPartObj>
            <w:docPartGallery w:val="Page Numbers (Top of Page)"/>
            <w:docPartUnique/>
          </w:docPartObj>
        </w:sdtPr>
        <w:sdtContent>
          <w:p w14:paraId="346236F1" w14:textId="2A5C739A" w:rsidR="00A135BC" w:rsidRDefault="00A135BC">
            <w:pPr>
              <w:pStyle w:val="Footer"/>
              <w:jc w:val="right"/>
            </w:pPr>
            <w:r w:rsidRPr="00A135BC">
              <w:rPr>
                <w:sz w:val="16"/>
                <w:szCs w:val="16"/>
              </w:rPr>
              <w:t xml:space="preserve">Page </w:t>
            </w:r>
            <w:r w:rsidRPr="00A135BC">
              <w:rPr>
                <w:b/>
                <w:bCs/>
                <w:sz w:val="16"/>
                <w:szCs w:val="16"/>
              </w:rPr>
              <w:fldChar w:fldCharType="begin"/>
            </w:r>
            <w:r w:rsidRPr="00A135BC">
              <w:rPr>
                <w:b/>
                <w:bCs/>
                <w:sz w:val="16"/>
                <w:szCs w:val="16"/>
              </w:rPr>
              <w:instrText xml:space="preserve"> PAGE </w:instrText>
            </w:r>
            <w:r w:rsidRPr="00A135BC">
              <w:rPr>
                <w:b/>
                <w:bCs/>
                <w:sz w:val="16"/>
                <w:szCs w:val="16"/>
              </w:rPr>
              <w:fldChar w:fldCharType="separate"/>
            </w:r>
            <w:r w:rsidRPr="00A135BC">
              <w:rPr>
                <w:b/>
                <w:bCs/>
                <w:noProof/>
                <w:sz w:val="16"/>
                <w:szCs w:val="16"/>
              </w:rPr>
              <w:t>2</w:t>
            </w:r>
            <w:r w:rsidRPr="00A135BC">
              <w:rPr>
                <w:b/>
                <w:bCs/>
                <w:sz w:val="16"/>
                <w:szCs w:val="16"/>
              </w:rPr>
              <w:fldChar w:fldCharType="end"/>
            </w:r>
            <w:r w:rsidRPr="00A135BC">
              <w:rPr>
                <w:sz w:val="16"/>
                <w:szCs w:val="16"/>
              </w:rPr>
              <w:t xml:space="preserve"> of </w:t>
            </w:r>
            <w:r w:rsidRPr="00A135BC">
              <w:rPr>
                <w:b/>
                <w:bCs/>
                <w:sz w:val="16"/>
                <w:szCs w:val="16"/>
              </w:rPr>
              <w:fldChar w:fldCharType="begin"/>
            </w:r>
            <w:r w:rsidRPr="00A135BC">
              <w:rPr>
                <w:b/>
                <w:bCs/>
                <w:sz w:val="16"/>
                <w:szCs w:val="16"/>
              </w:rPr>
              <w:instrText xml:space="preserve"> NUMPAGES  </w:instrText>
            </w:r>
            <w:r w:rsidRPr="00A135BC">
              <w:rPr>
                <w:b/>
                <w:bCs/>
                <w:sz w:val="16"/>
                <w:szCs w:val="16"/>
              </w:rPr>
              <w:fldChar w:fldCharType="separate"/>
            </w:r>
            <w:r w:rsidRPr="00A135BC">
              <w:rPr>
                <w:b/>
                <w:bCs/>
                <w:noProof/>
                <w:sz w:val="16"/>
                <w:szCs w:val="16"/>
              </w:rPr>
              <w:t>2</w:t>
            </w:r>
            <w:r w:rsidRPr="00A135BC">
              <w:rPr>
                <w:b/>
                <w:bCs/>
                <w:sz w:val="16"/>
                <w:szCs w:val="16"/>
              </w:rPr>
              <w:fldChar w:fldCharType="end"/>
            </w:r>
          </w:p>
        </w:sdtContent>
      </w:sdt>
    </w:sdtContent>
  </w:sdt>
  <w:p w14:paraId="40E03D7E" w14:textId="77777777" w:rsidR="00A135BC" w:rsidRDefault="00A1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A57CE" w14:textId="77777777" w:rsidR="00855E0C" w:rsidRDefault="00855E0C" w:rsidP="00FE141F">
      <w:r>
        <w:separator/>
      </w:r>
    </w:p>
  </w:footnote>
  <w:footnote w:type="continuationSeparator" w:id="0">
    <w:p w14:paraId="06BDB5E0" w14:textId="77777777" w:rsidR="00855E0C" w:rsidRDefault="00855E0C"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0023" w14:textId="6C1AB62E" w:rsidR="00723460" w:rsidRDefault="00A71B3A" w:rsidP="00A71B3A">
    <w:pPr>
      <w:pStyle w:val="Header"/>
    </w:pPr>
    <w:r w:rsidRPr="00AE0CDB">
      <w:rPr>
        <w:noProof/>
        <w:lang w:val="pt-BR" w:eastAsia="pt-BR"/>
      </w:rPr>
      <mc:AlternateContent>
        <mc:Choice Requires="wps">
          <w:drawing>
            <wp:anchor distT="0" distB="0" distL="114300" distR="114300" simplePos="0" relativeHeight="251696128" behindDoc="0" locked="0" layoutInCell="1" allowOverlap="1" wp14:anchorId="57CBFB58" wp14:editId="59BE5F44">
              <wp:simplePos x="0" y="0"/>
              <wp:positionH relativeFrom="column">
                <wp:posOffset>2682240</wp:posOffset>
              </wp:positionH>
              <wp:positionV relativeFrom="paragraph">
                <wp:posOffset>-362585</wp:posOffset>
              </wp:positionV>
              <wp:extent cx="3168015" cy="111315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113155"/>
                      </a:xfrm>
                      <a:prstGeom prst="rect">
                        <a:avLst/>
                      </a:prstGeom>
                      <a:solidFill>
                        <a:srgbClr val="FFFFFF"/>
                      </a:solidFill>
                      <a:ln w="9525">
                        <a:noFill/>
                        <a:miter lim="800000"/>
                        <a:headEnd/>
                        <a:tailEnd/>
                      </a:ln>
                    </wps:spPr>
                    <wps:txbx>
                      <w:txbxContent>
                        <w:p w14:paraId="4E4512A4" w14:textId="77777777" w:rsidR="00A71B3A" w:rsidRPr="00A56520" w:rsidRDefault="00A71B3A" w:rsidP="00A56520">
                          <w:pPr>
                            <w:pStyle w:val="HEXFooter"/>
                            <w:jc w:val="right"/>
                            <w:rPr>
                              <w:rFonts w:asciiTheme="minorHAnsi" w:hAnsiTheme="minorHAnsi" w:cstheme="minorHAnsi"/>
                              <w:sz w:val="16"/>
                              <w:szCs w:val="16"/>
                            </w:rPr>
                          </w:pPr>
                          <w:r w:rsidRPr="00A56520">
                            <w:rPr>
                              <w:rFonts w:asciiTheme="minorHAnsi" w:hAnsiTheme="minorHAnsi" w:cstheme="minorHAnsi"/>
                              <w:sz w:val="16"/>
                              <w:szCs w:val="16"/>
                            </w:rPr>
                            <w:t>Hexagon Mining Inc.</w:t>
                          </w:r>
                        </w:p>
                        <w:p w14:paraId="4AE8F671" w14:textId="649E37B6" w:rsidR="00A71B3A" w:rsidRPr="00A56520" w:rsidRDefault="00A71B3A" w:rsidP="00A56520">
                          <w:pPr>
                            <w:pStyle w:val="HEXFooter"/>
                            <w:jc w:val="right"/>
                            <w:rPr>
                              <w:rFonts w:asciiTheme="minorHAnsi" w:hAnsiTheme="minorHAnsi" w:cstheme="minorHAnsi"/>
                              <w:sz w:val="16"/>
                            </w:rPr>
                          </w:pPr>
                          <w:r w:rsidRPr="00A56520">
                            <w:rPr>
                              <w:rFonts w:asciiTheme="minorHAnsi" w:hAnsiTheme="minorHAnsi" w:cstheme="minorHAnsi"/>
                              <w:sz w:val="16"/>
                            </w:rPr>
                            <w:t>40 E Congress Street</w:t>
                          </w:r>
                          <w:r w:rsidR="00A56520">
                            <w:rPr>
                              <w:rFonts w:asciiTheme="minorHAnsi" w:hAnsiTheme="minorHAnsi" w:cstheme="minorHAnsi"/>
                              <w:sz w:val="16"/>
                            </w:rPr>
                            <w:t xml:space="preserve">, </w:t>
                          </w:r>
                          <w:r w:rsidRPr="00A56520">
                            <w:rPr>
                              <w:rFonts w:asciiTheme="minorHAnsi" w:hAnsiTheme="minorHAnsi" w:cstheme="minorHAnsi"/>
                              <w:sz w:val="16"/>
                            </w:rPr>
                            <w:t>Suite 150</w:t>
                          </w:r>
                        </w:p>
                        <w:p w14:paraId="3BAA6E4F" w14:textId="2AF2A42E" w:rsidR="00A71B3A" w:rsidRPr="00A56520" w:rsidRDefault="00A71B3A" w:rsidP="00A56520">
                          <w:pPr>
                            <w:pStyle w:val="HEXFooter"/>
                            <w:jc w:val="right"/>
                            <w:rPr>
                              <w:rFonts w:asciiTheme="minorHAnsi" w:hAnsiTheme="minorHAnsi" w:cstheme="minorHAnsi"/>
                              <w:sz w:val="16"/>
                              <w:lang w:val="es-CL"/>
                            </w:rPr>
                          </w:pPr>
                          <w:r w:rsidRPr="00A56520">
                            <w:rPr>
                              <w:rFonts w:asciiTheme="minorHAnsi" w:hAnsiTheme="minorHAnsi" w:cstheme="minorHAnsi"/>
                              <w:sz w:val="16"/>
                              <w:lang w:val="es-CL"/>
                            </w:rPr>
                            <w:t>Tucson, AZ</w:t>
                          </w:r>
                          <w:r w:rsidR="00A56520">
                            <w:rPr>
                              <w:rFonts w:asciiTheme="minorHAnsi" w:hAnsiTheme="minorHAnsi" w:cstheme="minorHAnsi"/>
                              <w:sz w:val="16"/>
                              <w:lang w:val="es-CL"/>
                            </w:rPr>
                            <w:t xml:space="preserve">, </w:t>
                          </w:r>
                          <w:r w:rsidRPr="00A56520">
                            <w:rPr>
                              <w:rFonts w:asciiTheme="minorHAnsi" w:hAnsiTheme="minorHAnsi" w:cstheme="minorHAnsi"/>
                              <w:sz w:val="16"/>
                              <w:lang w:val="es-CL"/>
                            </w:rPr>
                            <w:t xml:space="preserve">87501, USA </w:t>
                          </w:r>
                        </w:p>
                        <w:p w14:paraId="1456960F" w14:textId="65604317" w:rsidR="00A71B3A" w:rsidRPr="00A56520" w:rsidRDefault="00A71B3A" w:rsidP="00A56520">
                          <w:pPr>
                            <w:pStyle w:val="HEXFooter"/>
                            <w:ind w:right="23"/>
                            <w:jc w:val="right"/>
                            <w:rPr>
                              <w:rFonts w:asciiTheme="minorHAnsi" w:eastAsia="Times New Roman" w:hAnsiTheme="minorHAnsi" w:cstheme="minorHAnsi"/>
                              <w:sz w:val="16"/>
                              <w:szCs w:val="16"/>
                              <w:lang w:val="es-CL"/>
                            </w:rPr>
                          </w:pPr>
                          <w:r w:rsidRPr="00A56520">
                            <w:rPr>
                              <w:rFonts w:asciiTheme="minorHAnsi" w:eastAsia="Times New Roman" w:hAnsiTheme="minorHAnsi" w:cstheme="minorHAnsi"/>
                              <w:sz w:val="16"/>
                              <w:szCs w:val="16"/>
                              <w:lang w:val="es-CL"/>
                            </w:rPr>
                            <w:t>T: +1 (520) 795-3891</w:t>
                          </w:r>
                          <w:r w:rsidRPr="00A56520">
                            <w:rPr>
                              <w:rFonts w:asciiTheme="minorHAnsi" w:eastAsia="Times New Roman" w:hAnsiTheme="minorHAnsi" w:cstheme="minorHAnsi"/>
                              <w:sz w:val="16"/>
                              <w:szCs w:val="16"/>
                              <w:lang w:val="es-CL"/>
                            </w:rPr>
                            <w:br/>
                            <w:t xml:space="preserve">F: +1 (520) 325-2568 </w:t>
                          </w:r>
                        </w:p>
                        <w:p w14:paraId="58C76A41" w14:textId="65ED8DA8" w:rsidR="00A71B3A" w:rsidRPr="00A56520" w:rsidRDefault="00A71B3A" w:rsidP="00A56520">
                          <w:pPr>
                            <w:pStyle w:val="HEXFooter"/>
                            <w:ind w:right="23"/>
                            <w:jc w:val="right"/>
                            <w:rPr>
                              <w:rFonts w:asciiTheme="minorHAnsi" w:hAnsiTheme="minorHAnsi" w:cstheme="minorHAnsi"/>
                              <w:sz w:val="16"/>
                              <w:lang w:val="es-CL"/>
                            </w:rPr>
                          </w:pPr>
                          <w:r w:rsidRPr="00A56520">
                            <w:rPr>
                              <w:rFonts w:asciiTheme="minorHAnsi" w:eastAsia="Times New Roman" w:hAnsiTheme="minorHAnsi" w:cstheme="minorHAnsi"/>
                              <w:sz w:val="16"/>
                              <w:szCs w:val="16"/>
                              <w:lang w:val="es-CL"/>
                            </w:rPr>
                            <w:t>www.hexagonmining.com</w:t>
                          </w:r>
                        </w:p>
                        <w:p w14:paraId="75443147" w14:textId="77777777" w:rsidR="00A71B3A" w:rsidRPr="00A56520" w:rsidRDefault="00A71B3A" w:rsidP="00A71B3A">
                          <w:pPr>
                            <w:pStyle w:val="HEXFooter"/>
                            <w:ind w:right="23"/>
                            <w:jc w:val="right"/>
                            <w:rPr>
                              <w:rFonts w:asciiTheme="minorHAnsi" w:hAnsiTheme="minorHAnsi" w:cstheme="minorHAnsi"/>
                              <w:sz w:val="16"/>
                              <w:lang w:val="pt-B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BFB58" id="_x0000_t202" coordsize="21600,21600" o:spt="202" path="m,l,21600r21600,l21600,xe">
              <v:stroke joinstyle="miter"/>
              <v:path gradientshapeok="t" o:connecttype="rect"/>
            </v:shapetype>
            <v:shape id="Text Box 2" o:spid="_x0000_s1026" type="#_x0000_t202" style="position:absolute;left:0;text-align:left;margin-left:211.2pt;margin-top:-28.55pt;width:249.45pt;height:87.6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" stroked="f">
              <v:textbox style="mso-fit-shape-to-text:t">
                <w:txbxContent>
                  <w:p w14:paraId="4E4512A4" w14:textId="77777777" w:rsidR="00A71B3A" w:rsidRPr="00A56520" w:rsidRDefault="00A71B3A" w:rsidP="00A56520">
                    <w:pPr>
                      <w:pStyle w:val="HEXFooter"/>
                      <w:jc w:val="right"/>
                      <w:rPr>
                        <w:rFonts w:asciiTheme="minorHAnsi" w:hAnsiTheme="minorHAnsi" w:cstheme="minorHAnsi"/>
                        <w:sz w:val="16"/>
                        <w:szCs w:val="16"/>
                      </w:rPr>
                    </w:pPr>
                    <w:r w:rsidRPr="00A56520">
                      <w:rPr>
                        <w:rFonts w:asciiTheme="minorHAnsi" w:hAnsiTheme="minorHAnsi" w:cstheme="minorHAnsi"/>
                        <w:sz w:val="16"/>
                        <w:szCs w:val="16"/>
                      </w:rPr>
                      <w:t>Hexagon Mining Inc.</w:t>
                    </w:r>
                  </w:p>
                  <w:p w14:paraId="4AE8F671" w14:textId="649E37B6" w:rsidR="00A71B3A" w:rsidRPr="00A56520" w:rsidRDefault="00A71B3A" w:rsidP="00A56520">
                    <w:pPr>
                      <w:pStyle w:val="HEXFooter"/>
                      <w:jc w:val="right"/>
                      <w:rPr>
                        <w:rFonts w:asciiTheme="minorHAnsi" w:hAnsiTheme="minorHAnsi" w:cstheme="minorHAnsi"/>
                        <w:sz w:val="16"/>
                      </w:rPr>
                    </w:pPr>
                    <w:r w:rsidRPr="00A56520">
                      <w:rPr>
                        <w:rFonts w:asciiTheme="minorHAnsi" w:hAnsiTheme="minorHAnsi" w:cstheme="minorHAnsi"/>
                        <w:sz w:val="16"/>
                      </w:rPr>
                      <w:t>40 E Congress Street</w:t>
                    </w:r>
                    <w:r w:rsidR="00A56520">
                      <w:rPr>
                        <w:rFonts w:asciiTheme="minorHAnsi" w:hAnsiTheme="minorHAnsi" w:cstheme="minorHAnsi"/>
                        <w:sz w:val="16"/>
                      </w:rPr>
                      <w:t xml:space="preserve">, </w:t>
                    </w:r>
                    <w:r w:rsidRPr="00A56520">
                      <w:rPr>
                        <w:rFonts w:asciiTheme="minorHAnsi" w:hAnsiTheme="minorHAnsi" w:cstheme="minorHAnsi"/>
                        <w:sz w:val="16"/>
                      </w:rPr>
                      <w:t>Suite 150</w:t>
                    </w:r>
                  </w:p>
                  <w:p w14:paraId="3BAA6E4F" w14:textId="2AF2A42E" w:rsidR="00A71B3A" w:rsidRPr="00A56520" w:rsidRDefault="00A71B3A" w:rsidP="00A56520">
                    <w:pPr>
                      <w:pStyle w:val="HEXFooter"/>
                      <w:jc w:val="right"/>
                      <w:rPr>
                        <w:rFonts w:asciiTheme="minorHAnsi" w:hAnsiTheme="minorHAnsi" w:cstheme="minorHAnsi"/>
                        <w:sz w:val="16"/>
                        <w:lang w:val="es-CL"/>
                      </w:rPr>
                    </w:pPr>
                    <w:r w:rsidRPr="00A56520">
                      <w:rPr>
                        <w:rFonts w:asciiTheme="minorHAnsi" w:hAnsiTheme="minorHAnsi" w:cstheme="minorHAnsi"/>
                        <w:sz w:val="16"/>
                        <w:lang w:val="es-CL"/>
                      </w:rPr>
                      <w:t>Tucson, AZ</w:t>
                    </w:r>
                    <w:r w:rsidR="00A56520">
                      <w:rPr>
                        <w:rFonts w:asciiTheme="minorHAnsi" w:hAnsiTheme="minorHAnsi" w:cstheme="minorHAnsi"/>
                        <w:sz w:val="16"/>
                        <w:lang w:val="es-CL"/>
                      </w:rPr>
                      <w:t xml:space="preserve">, </w:t>
                    </w:r>
                    <w:r w:rsidRPr="00A56520">
                      <w:rPr>
                        <w:rFonts w:asciiTheme="minorHAnsi" w:hAnsiTheme="minorHAnsi" w:cstheme="minorHAnsi"/>
                        <w:sz w:val="16"/>
                        <w:lang w:val="es-CL"/>
                      </w:rPr>
                      <w:t xml:space="preserve">87501, USA </w:t>
                    </w:r>
                  </w:p>
                  <w:p w14:paraId="1456960F" w14:textId="65604317" w:rsidR="00A71B3A" w:rsidRPr="00A56520" w:rsidRDefault="00A71B3A" w:rsidP="00A56520">
                    <w:pPr>
                      <w:pStyle w:val="HEXFooter"/>
                      <w:ind w:right="23"/>
                      <w:jc w:val="right"/>
                      <w:rPr>
                        <w:rFonts w:asciiTheme="minorHAnsi" w:eastAsia="Times New Roman" w:hAnsiTheme="minorHAnsi" w:cstheme="minorHAnsi"/>
                        <w:sz w:val="16"/>
                        <w:szCs w:val="16"/>
                        <w:lang w:val="es-CL"/>
                      </w:rPr>
                    </w:pPr>
                    <w:r w:rsidRPr="00A56520">
                      <w:rPr>
                        <w:rFonts w:asciiTheme="minorHAnsi" w:eastAsia="Times New Roman" w:hAnsiTheme="minorHAnsi" w:cstheme="minorHAnsi"/>
                        <w:sz w:val="16"/>
                        <w:szCs w:val="16"/>
                        <w:lang w:val="es-CL"/>
                      </w:rPr>
                      <w:t>T: +1 (520) 795-3891</w:t>
                    </w:r>
                    <w:r w:rsidRPr="00A56520">
                      <w:rPr>
                        <w:rFonts w:asciiTheme="minorHAnsi" w:eastAsia="Times New Roman" w:hAnsiTheme="minorHAnsi" w:cstheme="minorHAnsi"/>
                        <w:sz w:val="16"/>
                        <w:szCs w:val="16"/>
                        <w:lang w:val="es-CL"/>
                      </w:rPr>
                      <w:br/>
                      <w:t xml:space="preserve">F: +1 (520) 325-2568 </w:t>
                    </w:r>
                  </w:p>
                  <w:p w14:paraId="58C76A41" w14:textId="65ED8DA8" w:rsidR="00A71B3A" w:rsidRPr="00A56520" w:rsidRDefault="00A71B3A" w:rsidP="00A56520">
                    <w:pPr>
                      <w:pStyle w:val="HEXFooter"/>
                      <w:ind w:right="23"/>
                      <w:jc w:val="right"/>
                      <w:rPr>
                        <w:rFonts w:asciiTheme="minorHAnsi" w:hAnsiTheme="minorHAnsi" w:cstheme="minorHAnsi"/>
                        <w:sz w:val="16"/>
                        <w:lang w:val="es-CL"/>
                      </w:rPr>
                    </w:pPr>
                    <w:r w:rsidRPr="00A56520">
                      <w:rPr>
                        <w:rFonts w:asciiTheme="minorHAnsi" w:eastAsia="Times New Roman" w:hAnsiTheme="minorHAnsi" w:cstheme="minorHAnsi"/>
                        <w:sz w:val="16"/>
                        <w:szCs w:val="16"/>
                        <w:lang w:val="es-CL"/>
                      </w:rPr>
                      <w:t>www.hexagonmining.com</w:t>
                    </w:r>
                  </w:p>
                  <w:p w14:paraId="75443147" w14:textId="77777777" w:rsidR="00A71B3A" w:rsidRPr="00A56520" w:rsidRDefault="00A71B3A" w:rsidP="00A71B3A">
                    <w:pPr>
                      <w:pStyle w:val="HEXFooter"/>
                      <w:ind w:right="23"/>
                      <w:jc w:val="right"/>
                      <w:rPr>
                        <w:rFonts w:asciiTheme="minorHAnsi" w:hAnsiTheme="minorHAnsi" w:cstheme="minorHAnsi"/>
                        <w:sz w:val="16"/>
                        <w:lang w:val="pt-BR"/>
                      </w:rPr>
                    </w:pPr>
                  </w:p>
                </w:txbxContent>
              </v:textbox>
            </v:shape>
          </w:pict>
        </mc:Fallback>
      </mc:AlternateContent>
    </w:r>
    <w:r w:rsidR="00723460">
      <w:rPr>
        <w:noProof/>
      </w:rPr>
      <w:drawing>
        <wp:anchor distT="0" distB="0" distL="114300" distR="114300" simplePos="0" relativeHeight="251694080" behindDoc="1" locked="0" layoutInCell="1" allowOverlap="1" wp14:anchorId="13A94CE3" wp14:editId="60F76E50">
          <wp:simplePos x="0" y="0"/>
          <wp:positionH relativeFrom="margin">
            <wp:posOffset>0</wp:posOffset>
          </wp:positionH>
          <wp:positionV relativeFrom="page">
            <wp:posOffset>575945</wp:posOffset>
          </wp:positionV>
          <wp:extent cx="1832760" cy="580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_RGB_STANDARD.jpg"/>
                  <pic:cNvPicPr/>
                </pic:nvPicPr>
                <pic:blipFill rotWithShape="1">
                  <a:blip r:embed="rId1">
                    <a:extLst>
                      <a:ext uri="{28A0092B-C50C-407E-A947-70E740481C1C}">
                        <a14:useLocalDpi xmlns:a14="http://schemas.microsoft.com/office/drawing/2010/main" val="0"/>
                      </a:ext>
                    </a:extLst>
                  </a:blip>
                  <a:srcRect l="7223" t="16897" r="6972" b="16632"/>
                  <a:stretch/>
                </pic:blipFill>
                <pic:spPr bwMode="auto">
                  <a:xfrm>
                    <a:off x="0" y="0"/>
                    <a:ext cx="1832760" cy="58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3783"/>
    <w:multiLevelType w:val="hybridMultilevel"/>
    <w:tmpl w:val="B58644AE"/>
    <w:lvl w:ilvl="0" w:tplc="35CE8A90">
      <w:start w:val="1"/>
      <w:numFmt w:val="lowerRoman"/>
      <w:pStyle w:val="MediaReleaseListNumber3"/>
      <w:lvlText w:val="%1."/>
      <w:lvlJc w:val="right"/>
      <w:pPr>
        <w:ind w:left="1837" w:hanging="360"/>
      </w:p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 w15:restartNumberingAfterBreak="0">
    <w:nsid w:val="0F2E7AC3"/>
    <w:multiLevelType w:val="multilevel"/>
    <w:tmpl w:val="1EAC2DB2"/>
    <w:lvl w:ilvl="0">
      <w:start w:val="1"/>
      <w:numFmt w:val="decimal"/>
      <w:pStyle w:val="Sectionheading"/>
      <w:isLgl/>
      <w:lvlText w:val="%1"/>
      <w:lvlJc w:val="left"/>
      <w:pPr>
        <w:tabs>
          <w:tab w:val="num" w:pos="851"/>
        </w:tabs>
        <w:ind w:left="851" w:hanging="851"/>
      </w:pPr>
      <w:rPr>
        <w:rFonts w:ascii="Arial (W1)" w:hAnsi="Arial (W1)" w:hint="default"/>
        <w:b/>
        <w:i w:val="0"/>
        <w:sz w:val="22"/>
      </w:rPr>
    </w:lvl>
    <w:lvl w:ilvl="1">
      <w:start w:val="1"/>
      <w:numFmt w:val="decimal"/>
      <w:pStyle w:val="Section1"/>
      <w:isLgl/>
      <w:lvlText w:val="%1.%2"/>
      <w:lvlJc w:val="left"/>
      <w:pPr>
        <w:tabs>
          <w:tab w:val="num" w:pos="851"/>
        </w:tabs>
        <w:ind w:left="851" w:hanging="851"/>
      </w:pPr>
      <w:rPr>
        <w:rFonts w:ascii="CG Times (W1)" w:hAnsi="CG Times (W1)"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
      <w:isLgl/>
      <w:lvlText w:val="%1.%2.%3"/>
      <w:lvlJc w:val="left"/>
      <w:pPr>
        <w:tabs>
          <w:tab w:val="num" w:pos="851"/>
        </w:tabs>
        <w:ind w:left="851" w:hanging="851"/>
      </w:pPr>
      <w:rPr>
        <w:rFonts w:ascii="CG Times (W1)" w:hAnsi="CG Times (W1)"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ection3"/>
      <w:isLgl/>
      <w:lvlText w:val="%1.%2.%3.%4"/>
      <w:lvlJc w:val="left"/>
      <w:pPr>
        <w:tabs>
          <w:tab w:val="num" w:pos="992"/>
        </w:tabs>
        <w:ind w:left="992" w:hanging="992"/>
      </w:pPr>
      <w:rPr>
        <w:rFonts w:ascii="Arial (W1)" w:hAnsi="Arial (W1)" w:hint="default"/>
        <w:b w:val="0"/>
        <w:i w:val="0"/>
        <w:sz w:val="22"/>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10124469"/>
    <w:multiLevelType w:val="multilevel"/>
    <w:tmpl w:val="78829ED6"/>
    <w:lvl w:ilvl="0">
      <w:start w:val="1"/>
      <w:numFmt w:val="decimal"/>
      <w:pStyle w:val="Doc1"/>
      <w:lvlText w:val="%1."/>
      <w:lvlJc w:val="left"/>
      <w:pPr>
        <w:tabs>
          <w:tab w:val="num" w:pos="0"/>
        </w:tabs>
        <w:ind w:left="425" w:hanging="425"/>
      </w:pPr>
      <w:rPr>
        <w:rFonts w:ascii="Arial Bold" w:hAnsi="Arial Bold"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Doc2"/>
      <w:lvlText w:val="(%2)"/>
      <w:lvlJc w:val="left"/>
      <w:pPr>
        <w:tabs>
          <w:tab w:val="num" w:pos="360"/>
        </w:tabs>
        <w:ind w:left="785" w:hanging="425"/>
      </w:pPr>
      <w:rPr>
        <w:rFonts w:ascii="Arial" w:eastAsia="SimSun" w:hAnsi="Arial" w:cs="Arial"/>
        <w:b w:val="0"/>
        <w:bCs/>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oc3"/>
      <w:lvlText w:val="(%3)"/>
      <w:lvlJc w:val="left"/>
      <w:pPr>
        <w:tabs>
          <w:tab w:val="num" w:pos="284"/>
        </w:tabs>
        <w:ind w:left="710" w:hanging="426"/>
      </w:pPr>
      <w:rPr>
        <w:rFonts w:ascii="Arial" w:eastAsia="SimSun" w:hAnsi="Arial" w:cs="Arial"/>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24"/>
        </w:tabs>
        <w:ind w:left="1724"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444"/>
        </w:tabs>
        <w:ind w:left="2444"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164"/>
        </w:tabs>
        <w:ind w:left="3164" w:hanging="720"/>
      </w:pPr>
      <w:rPr>
        <w:rFonts w:ascii="Arial" w:hAnsi="Arial" w:hint="default"/>
        <w:b w:val="0"/>
        <w:i w:val="0"/>
        <w:sz w:val="22"/>
        <w:szCs w:val="22"/>
      </w:rPr>
    </w:lvl>
    <w:lvl w:ilvl="6">
      <w:start w:val="1"/>
      <w:numFmt w:val="none"/>
      <w:suff w:val="space"/>
      <w:lvlText w:val=""/>
      <w:lvlJc w:val="left"/>
      <w:pPr>
        <w:ind w:left="284" w:firstLine="0"/>
      </w:pPr>
      <w:rPr>
        <w:rFonts w:hint="default"/>
      </w:rPr>
    </w:lvl>
    <w:lvl w:ilvl="7">
      <w:start w:val="1"/>
      <w:numFmt w:val="none"/>
      <w:suff w:val="space"/>
      <w:lvlText w:val=""/>
      <w:lvlJc w:val="left"/>
      <w:pPr>
        <w:ind w:left="284" w:firstLine="0"/>
      </w:pPr>
      <w:rPr>
        <w:rFonts w:hint="default"/>
      </w:rPr>
    </w:lvl>
    <w:lvl w:ilvl="8">
      <w:start w:val="1"/>
      <w:numFmt w:val="none"/>
      <w:suff w:val="space"/>
      <w:lvlText w:val=""/>
      <w:lvlJc w:val="left"/>
      <w:pPr>
        <w:ind w:left="284" w:firstLine="0"/>
      </w:pPr>
      <w:rPr>
        <w:rFonts w:hint="default"/>
      </w:rPr>
    </w:lvl>
  </w:abstractNum>
  <w:abstractNum w:abstractNumId="3" w15:restartNumberingAfterBreak="0">
    <w:nsid w:val="11CE304C"/>
    <w:multiLevelType w:val="hybridMultilevel"/>
    <w:tmpl w:val="B96C0992"/>
    <w:lvl w:ilvl="0" w:tplc="14AA05F4">
      <w:start w:val="1"/>
      <w:numFmt w:val="lowerRoman"/>
      <w:pStyle w:val="ListNumber3"/>
      <w:lvlText w:val="%1."/>
      <w:lvlJc w:val="right"/>
      <w:pPr>
        <w:ind w:left="1477" w:hanging="360"/>
      </w:pPr>
      <w:rPr>
        <w:rFonts w:hint="default"/>
        <w:color w:val="080808"/>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4" w15:restartNumberingAfterBreak="0">
    <w:nsid w:val="19CE2912"/>
    <w:multiLevelType w:val="multilevel"/>
    <w:tmpl w:val="E52C563A"/>
    <w:lvl w:ilvl="0">
      <w:start w:val="1"/>
      <w:numFmt w:val="decimal"/>
      <w:lvlText w:val="%1."/>
      <w:lvlJc w:val="left"/>
      <w:pPr>
        <w:ind w:left="720" w:hanging="360"/>
      </w:pPr>
      <w:rPr>
        <w:rFonts w:ascii="Arial" w:hAnsi="Arial" w:cs="Arial" w:hint="default"/>
        <w:b/>
        <w:bCs/>
        <w:sz w:val="20"/>
        <w:szCs w:val="20"/>
      </w:rPr>
    </w:lvl>
    <w:lvl w:ilvl="1">
      <w:start w:val="1"/>
      <w:numFmt w:val="decimal"/>
      <w:lvlText w:val="%1.%2."/>
      <w:lvlJc w:val="left"/>
      <w:pPr>
        <w:ind w:left="720" w:hanging="360"/>
      </w:pPr>
      <w:rPr>
        <w:b w:val="0"/>
        <w:bCs w:val="0"/>
        <w:sz w:val="20"/>
        <w:szCs w:val="20"/>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D7C45B8"/>
    <w:multiLevelType w:val="hybridMultilevel"/>
    <w:tmpl w:val="BDFCEDA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DF62A4"/>
    <w:multiLevelType w:val="multilevel"/>
    <w:tmpl w:val="2A543B4A"/>
    <w:lvl w:ilvl="0">
      <w:start w:val="15"/>
      <w:numFmt w:val="decimal"/>
      <w:lvlText w:val="%1."/>
      <w:lvlJc w:val="left"/>
      <w:pPr>
        <w:ind w:left="450" w:hanging="450"/>
      </w:pPr>
      <w:rPr>
        <w:rFonts w:hint="default"/>
        <w:b/>
      </w:rPr>
    </w:lvl>
    <w:lvl w:ilvl="1">
      <w:start w:val="1"/>
      <w:numFmt w:val="decimal"/>
      <w:lvlText w:val="%1.%2."/>
      <w:lvlJc w:val="left"/>
      <w:pPr>
        <w:ind w:left="1350" w:hanging="450"/>
      </w:pPr>
      <w:rPr>
        <w:rFonts w:hint="default"/>
        <w:b w:val="0"/>
        <w:bCs/>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7" w15:restartNumberingAfterBreak="0">
    <w:nsid w:val="20064B98"/>
    <w:multiLevelType w:val="multilevel"/>
    <w:tmpl w:val="5D7E22CA"/>
    <w:numStyleLink w:val="DownerNumberedList"/>
  </w:abstractNum>
  <w:abstractNum w:abstractNumId="8" w15:restartNumberingAfterBreak="0">
    <w:nsid w:val="24266E8E"/>
    <w:multiLevelType w:val="multilevel"/>
    <w:tmpl w:val="F886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83C65"/>
    <w:multiLevelType w:val="hybridMultilevel"/>
    <w:tmpl w:val="7E202AC8"/>
    <w:lvl w:ilvl="0" w:tplc="53B6C774">
      <w:start w:val="1"/>
      <w:numFmt w:val="bullet"/>
      <w:pStyle w:val="ListBullet4"/>
      <w:lvlText w:val=""/>
      <w:lvlJc w:val="left"/>
      <w:pPr>
        <w:ind w:left="2189" w:hanging="360"/>
      </w:pPr>
      <w:rPr>
        <w:rFonts w:ascii="Symbol" w:hAnsi="Symbol" w:hint="default"/>
        <w:color w:val="080808"/>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10" w15:restartNumberingAfterBreak="0">
    <w:nsid w:val="2AE41C17"/>
    <w:multiLevelType w:val="hybridMultilevel"/>
    <w:tmpl w:val="C75ED38A"/>
    <w:lvl w:ilvl="0" w:tplc="8982A6AA">
      <w:start w:val="1"/>
      <w:numFmt w:val="bullet"/>
      <w:pStyle w:val="ListBullet5"/>
      <w:lvlText w:val=""/>
      <w:lvlJc w:val="left"/>
      <w:pPr>
        <w:ind w:left="2931" w:hanging="360"/>
      </w:pPr>
      <w:rPr>
        <w:rFonts w:ascii="Symbol" w:hAnsi="Symbol" w:hint="default"/>
        <w:color w:val="080808"/>
      </w:rPr>
    </w:lvl>
    <w:lvl w:ilvl="1" w:tplc="04090003" w:tentative="1">
      <w:start w:val="1"/>
      <w:numFmt w:val="bullet"/>
      <w:lvlText w:val="o"/>
      <w:lvlJc w:val="left"/>
      <w:pPr>
        <w:ind w:left="3651" w:hanging="360"/>
      </w:pPr>
      <w:rPr>
        <w:rFonts w:ascii="Courier New" w:hAnsi="Courier New" w:cs="Courier New"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11" w15:restartNumberingAfterBreak="0">
    <w:nsid w:val="2C126855"/>
    <w:multiLevelType w:val="hybridMultilevel"/>
    <w:tmpl w:val="F8A4616C"/>
    <w:lvl w:ilvl="0" w:tplc="C136E126">
      <w:start w:val="1"/>
      <w:numFmt w:val="bullet"/>
      <w:pStyle w:val="ListBullet2"/>
      <w:lvlText w:val=""/>
      <w:lvlJc w:val="left"/>
      <w:pPr>
        <w:ind w:left="1536" w:hanging="360"/>
      </w:pPr>
      <w:rPr>
        <w:rFonts w:ascii="Symbol" w:hAnsi="Symbol" w:hint="default"/>
        <w:color w:val="080808"/>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2" w15:restartNumberingAfterBreak="0">
    <w:nsid w:val="2CFD2F28"/>
    <w:multiLevelType w:val="multilevel"/>
    <w:tmpl w:val="5D7E22CA"/>
    <w:styleLink w:val="DownerNumberedList"/>
    <w:lvl w:ilvl="0">
      <w:start w:val="1"/>
      <w:numFmt w:val="decimal"/>
      <w:lvlText w:val="%1"/>
      <w:lvlJc w:val="left"/>
      <w:pPr>
        <w:ind w:left="567" w:hanging="567"/>
      </w:pPr>
      <w:rPr>
        <w:rFonts w:ascii="Arial Bold" w:hAnsi="Arial Bold" w:hint="default"/>
        <w:b/>
        <w:caps/>
        <w:smallCaps w:val="0"/>
        <w:sz w:val="16"/>
      </w:rPr>
    </w:lvl>
    <w:lvl w:ilvl="1">
      <w:start w:val="1"/>
      <w:numFmt w:val="decimal"/>
      <w:pStyle w:val="DownerListNumber2"/>
      <w:lvlText w:val="%1.%2"/>
      <w:lvlJc w:val="left"/>
      <w:pPr>
        <w:ind w:left="567" w:hanging="567"/>
      </w:pPr>
      <w:rPr>
        <w:rFonts w:ascii="Arial Bold" w:hAnsi="Arial Bold" w:hint="default"/>
        <w:b/>
        <w:i w:val="0"/>
        <w:sz w:val="16"/>
      </w:rPr>
    </w:lvl>
    <w:lvl w:ilvl="2">
      <w:start w:val="1"/>
      <w:numFmt w:val="none"/>
      <w:suff w:val="nothing"/>
      <w:lvlText w:val="%3"/>
      <w:lvlJc w:val="left"/>
      <w:pPr>
        <w:ind w:left="0" w:firstLine="0"/>
      </w:pPr>
      <w:rPr>
        <w:rFonts w:ascii="Arial" w:hAnsi="Arial" w:hint="default"/>
        <w:sz w:val="16"/>
      </w:rPr>
    </w:lvl>
    <w:lvl w:ilvl="3">
      <w:start w:val="1"/>
      <w:numFmt w:val="lowerLetter"/>
      <w:pStyle w:val="DownerListNumber4"/>
      <w:lvlText w:val="(%4)"/>
      <w:lvlJc w:val="left"/>
      <w:pPr>
        <w:ind w:left="567" w:hanging="567"/>
      </w:pPr>
      <w:rPr>
        <w:rFonts w:ascii="Arial" w:hAnsi="Arial" w:hint="default"/>
        <w:sz w:val="16"/>
      </w:rPr>
    </w:lvl>
    <w:lvl w:ilvl="4">
      <w:start w:val="1"/>
      <w:numFmt w:val="lowerRoman"/>
      <w:pStyle w:val="DownerListNumber5"/>
      <w:lvlText w:val="(%5)"/>
      <w:lvlJc w:val="left"/>
      <w:pPr>
        <w:ind w:left="1134" w:hanging="567"/>
      </w:pPr>
      <w:rPr>
        <w:rFonts w:ascii="Arial" w:hAnsi="Arial" w:hint="default"/>
        <w:sz w:val="16"/>
      </w:rPr>
    </w:lvl>
    <w:lvl w:ilvl="5">
      <w:start w:val="1"/>
      <w:numFmt w:val="upperLetter"/>
      <w:pStyle w:val="DownerListNumber6"/>
      <w:lvlText w:val="(%6)"/>
      <w:lvlJc w:val="left"/>
      <w:pPr>
        <w:ind w:left="1701" w:hanging="567"/>
      </w:pPr>
      <w:rPr>
        <w:rFonts w:ascii="Arial" w:hAnsi="Arial" w:hint="default"/>
        <w:sz w:val="16"/>
      </w:rPr>
    </w:lvl>
    <w:lvl w:ilvl="6">
      <w:start w:val="1"/>
      <w:numFmt w:val="decimal"/>
      <w:lvlText w:val="%7."/>
      <w:lvlJc w:val="left"/>
      <w:pPr>
        <w:tabs>
          <w:tab w:val="num" w:pos="8225"/>
        </w:tabs>
        <w:ind w:left="567" w:hanging="567"/>
      </w:pPr>
      <w:rPr>
        <w:rFonts w:hint="default"/>
      </w:rPr>
    </w:lvl>
    <w:lvl w:ilvl="7">
      <w:start w:val="1"/>
      <w:numFmt w:val="lowerLetter"/>
      <w:lvlText w:val="%8."/>
      <w:lvlJc w:val="left"/>
      <w:pPr>
        <w:tabs>
          <w:tab w:val="num" w:pos="9076"/>
        </w:tabs>
        <w:ind w:left="567" w:hanging="567"/>
      </w:pPr>
      <w:rPr>
        <w:rFonts w:hint="default"/>
      </w:rPr>
    </w:lvl>
    <w:lvl w:ilvl="8">
      <w:start w:val="1"/>
      <w:numFmt w:val="lowerRoman"/>
      <w:lvlText w:val="%9."/>
      <w:lvlJc w:val="left"/>
      <w:pPr>
        <w:tabs>
          <w:tab w:val="num" w:pos="9927"/>
        </w:tabs>
        <w:ind w:left="567" w:hanging="567"/>
      </w:pPr>
      <w:rPr>
        <w:rFonts w:hint="default"/>
      </w:rPr>
    </w:lvl>
  </w:abstractNum>
  <w:abstractNum w:abstractNumId="13" w15:restartNumberingAfterBreak="0">
    <w:nsid w:val="2D955FF0"/>
    <w:multiLevelType w:val="hybridMultilevel"/>
    <w:tmpl w:val="CBA63352"/>
    <w:lvl w:ilvl="0" w:tplc="BF2CB1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DC63762"/>
    <w:multiLevelType w:val="multilevel"/>
    <w:tmpl w:val="369ED9FC"/>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AB268C"/>
    <w:multiLevelType w:val="hybridMultilevel"/>
    <w:tmpl w:val="E224FC9C"/>
    <w:lvl w:ilvl="0" w:tplc="626647A8">
      <w:start w:val="1"/>
      <w:numFmt w:val="decimal"/>
      <w:pStyle w:val="MediaReleaseListNumber1"/>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6" w15:restartNumberingAfterBreak="0">
    <w:nsid w:val="365D48EB"/>
    <w:multiLevelType w:val="hybridMultilevel"/>
    <w:tmpl w:val="3E967824"/>
    <w:lvl w:ilvl="0" w:tplc="1ADCC63C">
      <w:start w:val="1"/>
      <w:numFmt w:val="lowerLetter"/>
      <w:pStyle w:val="MediaReleaseListNumber2"/>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7" w15:restartNumberingAfterBreak="0">
    <w:nsid w:val="4237051A"/>
    <w:multiLevelType w:val="multilevel"/>
    <w:tmpl w:val="B756EC9A"/>
    <w:lvl w:ilvl="0">
      <w:start w:val="14"/>
      <w:numFmt w:val="decimal"/>
      <w:lvlText w:val="%1."/>
      <w:lvlJc w:val="left"/>
      <w:pPr>
        <w:ind w:left="450" w:hanging="450"/>
      </w:pPr>
      <w:rPr>
        <w:rFonts w:eastAsiaTheme="minorHAnsi" w:hint="default"/>
        <w:b/>
      </w:rPr>
    </w:lvl>
    <w:lvl w:ilvl="1">
      <w:start w:val="3"/>
      <w:numFmt w:val="decimal"/>
      <w:lvlText w:val="%1.%2."/>
      <w:lvlJc w:val="left"/>
      <w:pPr>
        <w:ind w:left="450" w:hanging="45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8" w15:restartNumberingAfterBreak="0">
    <w:nsid w:val="4E294299"/>
    <w:multiLevelType w:val="hybridMultilevel"/>
    <w:tmpl w:val="A972FE00"/>
    <w:lvl w:ilvl="0" w:tplc="DF2E8E00">
      <w:start w:val="1"/>
      <w:numFmt w:val="lowerLetter"/>
      <w:pStyle w:val="ListNumber2"/>
      <w:lvlText w:val="%1."/>
      <w:lvlJc w:val="right"/>
      <w:pPr>
        <w:ind w:left="1497" w:hanging="360"/>
      </w:pPr>
      <w:rPr>
        <w:rFonts w:hint="default"/>
        <w:color w:val="080808"/>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9" w15:restartNumberingAfterBreak="0">
    <w:nsid w:val="4F7C7C6D"/>
    <w:multiLevelType w:val="multilevel"/>
    <w:tmpl w:val="4B8A83FE"/>
    <w:styleLink w:val="HMIBullets"/>
    <w:lvl w:ilvl="0">
      <w:start w:val="1"/>
      <w:numFmt w:val="bullet"/>
      <w:pStyle w:val="ListBullet"/>
      <w:lvlText w:val=""/>
      <w:lvlJc w:val="left"/>
      <w:pPr>
        <w:ind w:left="746" w:hanging="360"/>
      </w:pPr>
      <w:rPr>
        <w:rFonts w:ascii="Symbol" w:hAnsi="Symbol" w:hint="default"/>
        <w:color w:val="080808"/>
      </w:rPr>
    </w:lvl>
    <w:lvl w:ilvl="1">
      <w:start w:val="1"/>
      <w:numFmt w:val="bullet"/>
      <w:lvlText w:val=""/>
      <w:lvlJc w:val="left"/>
      <w:pPr>
        <w:tabs>
          <w:tab w:val="num" w:pos="1111"/>
        </w:tabs>
        <w:ind w:left="1111" w:hanging="357"/>
      </w:pPr>
      <w:rPr>
        <w:rFonts w:ascii="Symbol" w:hAnsi="Symbol" w:hint="default"/>
        <w:color w:val="0097BA"/>
      </w:rPr>
    </w:lvl>
    <w:lvl w:ilvl="2">
      <w:start w:val="1"/>
      <w:numFmt w:val="bullet"/>
      <w:lvlText w:val=""/>
      <w:lvlJc w:val="left"/>
      <w:pPr>
        <w:tabs>
          <w:tab w:val="num" w:pos="1469"/>
        </w:tabs>
        <w:ind w:left="1469" w:hanging="358"/>
      </w:pPr>
      <w:rPr>
        <w:rFonts w:ascii="Symbol" w:hAnsi="Symbol" w:hint="default"/>
        <w:color w:val="0097BA"/>
      </w:rPr>
    </w:lvl>
    <w:lvl w:ilvl="3">
      <w:start w:val="1"/>
      <w:numFmt w:val="bullet"/>
      <w:lvlText w:val=""/>
      <w:lvlJc w:val="left"/>
      <w:pPr>
        <w:tabs>
          <w:tab w:val="num" w:pos="1826"/>
        </w:tabs>
        <w:ind w:left="1826" w:hanging="357"/>
      </w:pPr>
      <w:rPr>
        <w:rFonts w:ascii="Symbol" w:hAnsi="Symbol" w:hint="default"/>
        <w:color w:val="0097BA"/>
      </w:rPr>
    </w:lvl>
    <w:lvl w:ilvl="4">
      <w:start w:val="1"/>
      <w:numFmt w:val="bullet"/>
      <w:lvlText w:val=""/>
      <w:lvlJc w:val="left"/>
      <w:pPr>
        <w:tabs>
          <w:tab w:val="num" w:pos="2183"/>
        </w:tabs>
        <w:ind w:left="2183" w:hanging="357"/>
      </w:pPr>
      <w:rPr>
        <w:rFonts w:ascii="Symbol" w:hAnsi="Symbol" w:hint="default"/>
        <w:color w:val="0097BA"/>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8C4241"/>
    <w:multiLevelType w:val="hybridMultilevel"/>
    <w:tmpl w:val="B636C84C"/>
    <w:lvl w:ilvl="0" w:tplc="DAB010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D559E"/>
    <w:multiLevelType w:val="multilevel"/>
    <w:tmpl w:val="03B20CF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BA6653"/>
    <w:multiLevelType w:val="multilevel"/>
    <w:tmpl w:val="5D7E22CA"/>
    <w:numStyleLink w:val="DownerNumberedList"/>
  </w:abstractNum>
  <w:abstractNum w:abstractNumId="23" w15:restartNumberingAfterBreak="0">
    <w:nsid w:val="62E53133"/>
    <w:multiLevelType w:val="hybridMultilevel"/>
    <w:tmpl w:val="8676BEB2"/>
    <w:lvl w:ilvl="0" w:tplc="3FE80442">
      <w:start w:val="4"/>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43D9B"/>
    <w:multiLevelType w:val="multilevel"/>
    <w:tmpl w:val="51E2C3EC"/>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6FA5A77"/>
    <w:multiLevelType w:val="hybridMultilevel"/>
    <w:tmpl w:val="A05C975A"/>
    <w:lvl w:ilvl="0" w:tplc="F61C229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B4B705A"/>
    <w:multiLevelType w:val="hybridMultilevel"/>
    <w:tmpl w:val="2EA283FC"/>
    <w:lvl w:ilvl="0" w:tplc="DC7E812A">
      <w:start w:val="1"/>
      <w:numFmt w:val="bullet"/>
      <w:pStyle w:val="ListBullet3"/>
      <w:lvlText w:val=""/>
      <w:lvlJc w:val="left"/>
      <w:pPr>
        <w:ind w:left="1831" w:hanging="360"/>
      </w:pPr>
      <w:rPr>
        <w:rFonts w:ascii="Symbol" w:hAnsi="Symbol" w:hint="default"/>
        <w:color w:val="080808"/>
      </w:rPr>
    </w:lvl>
    <w:lvl w:ilvl="1" w:tplc="04090003" w:tentative="1">
      <w:start w:val="1"/>
      <w:numFmt w:val="bullet"/>
      <w:lvlText w:val="o"/>
      <w:lvlJc w:val="left"/>
      <w:pPr>
        <w:ind w:left="2551" w:hanging="360"/>
      </w:pPr>
      <w:rPr>
        <w:rFonts w:ascii="Courier New" w:hAnsi="Courier New" w:cs="Courier New" w:hint="default"/>
      </w:rPr>
    </w:lvl>
    <w:lvl w:ilvl="2" w:tplc="04090005" w:tentative="1">
      <w:start w:val="1"/>
      <w:numFmt w:val="bullet"/>
      <w:lvlText w:val=""/>
      <w:lvlJc w:val="left"/>
      <w:pPr>
        <w:ind w:left="3271" w:hanging="360"/>
      </w:pPr>
      <w:rPr>
        <w:rFonts w:ascii="Wingdings" w:hAnsi="Wingdings" w:hint="default"/>
      </w:rPr>
    </w:lvl>
    <w:lvl w:ilvl="3" w:tplc="04090001" w:tentative="1">
      <w:start w:val="1"/>
      <w:numFmt w:val="bullet"/>
      <w:lvlText w:val=""/>
      <w:lvlJc w:val="left"/>
      <w:pPr>
        <w:ind w:left="3991" w:hanging="360"/>
      </w:pPr>
      <w:rPr>
        <w:rFonts w:ascii="Symbol" w:hAnsi="Symbol" w:hint="default"/>
      </w:rPr>
    </w:lvl>
    <w:lvl w:ilvl="4" w:tplc="04090003" w:tentative="1">
      <w:start w:val="1"/>
      <w:numFmt w:val="bullet"/>
      <w:lvlText w:val="o"/>
      <w:lvlJc w:val="left"/>
      <w:pPr>
        <w:ind w:left="4711" w:hanging="360"/>
      </w:pPr>
      <w:rPr>
        <w:rFonts w:ascii="Courier New" w:hAnsi="Courier New" w:cs="Courier New" w:hint="default"/>
      </w:rPr>
    </w:lvl>
    <w:lvl w:ilvl="5" w:tplc="04090005" w:tentative="1">
      <w:start w:val="1"/>
      <w:numFmt w:val="bullet"/>
      <w:lvlText w:val=""/>
      <w:lvlJc w:val="left"/>
      <w:pPr>
        <w:ind w:left="5431" w:hanging="360"/>
      </w:pPr>
      <w:rPr>
        <w:rFonts w:ascii="Wingdings" w:hAnsi="Wingdings" w:hint="default"/>
      </w:rPr>
    </w:lvl>
    <w:lvl w:ilvl="6" w:tplc="04090001" w:tentative="1">
      <w:start w:val="1"/>
      <w:numFmt w:val="bullet"/>
      <w:lvlText w:val=""/>
      <w:lvlJc w:val="left"/>
      <w:pPr>
        <w:ind w:left="6151" w:hanging="360"/>
      </w:pPr>
      <w:rPr>
        <w:rFonts w:ascii="Symbol" w:hAnsi="Symbol" w:hint="default"/>
      </w:rPr>
    </w:lvl>
    <w:lvl w:ilvl="7" w:tplc="04090003" w:tentative="1">
      <w:start w:val="1"/>
      <w:numFmt w:val="bullet"/>
      <w:lvlText w:val="o"/>
      <w:lvlJc w:val="left"/>
      <w:pPr>
        <w:ind w:left="6871" w:hanging="360"/>
      </w:pPr>
      <w:rPr>
        <w:rFonts w:ascii="Courier New" w:hAnsi="Courier New" w:cs="Courier New" w:hint="default"/>
      </w:rPr>
    </w:lvl>
    <w:lvl w:ilvl="8" w:tplc="04090005" w:tentative="1">
      <w:start w:val="1"/>
      <w:numFmt w:val="bullet"/>
      <w:lvlText w:val=""/>
      <w:lvlJc w:val="left"/>
      <w:pPr>
        <w:ind w:left="7591" w:hanging="360"/>
      </w:pPr>
      <w:rPr>
        <w:rFonts w:ascii="Wingdings" w:hAnsi="Wingdings" w:hint="default"/>
      </w:rPr>
    </w:lvl>
  </w:abstractNum>
  <w:abstractNum w:abstractNumId="27" w15:restartNumberingAfterBreak="0">
    <w:nsid w:val="6B5328C3"/>
    <w:multiLevelType w:val="multilevel"/>
    <w:tmpl w:val="6CF8F1B4"/>
    <w:lvl w:ilvl="0">
      <w:start w:val="1"/>
      <w:numFmt w:val="decimal"/>
      <w:pStyle w:val="TCH2"/>
      <w:lvlText w:val="%1"/>
      <w:lvlJc w:val="left"/>
      <w:pPr>
        <w:ind w:left="680" w:hanging="680"/>
      </w:pPr>
      <w:rPr>
        <w:rFonts w:ascii="Arial" w:hAnsi="Arial" w:cs="Arial" w:hint="default"/>
        <w:b/>
        <w:i w:val="0"/>
        <w:sz w:val="20"/>
        <w:szCs w:val="20"/>
      </w:rPr>
    </w:lvl>
    <w:lvl w:ilvl="1">
      <w:start w:val="1"/>
      <w:numFmt w:val="decimal"/>
      <w:pStyle w:val="TCH3"/>
      <w:lvlText w:val="%2."/>
      <w:lvlJc w:val="left"/>
      <w:pPr>
        <w:ind w:left="360" w:hanging="360"/>
      </w:pPr>
      <w:rPr>
        <w:rFonts w:hint="default"/>
        <w:b/>
        <w:i w:val="0"/>
        <w:sz w:val="17"/>
      </w:rPr>
    </w:lvl>
    <w:lvl w:ilvl="2">
      <w:start w:val="1"/>
      <w:numFmt w:val="lowerLetter"/>
      <w:pStyle w:val="TCLevel1"/>
      <w:lvlText w:val="(%3)"/>
      <w:lvlJc w:val="left"/>
      <w:pPr>
        <w:ind w:left="360" w:hanging="360"/>
      </w:pPr>
      <w:rPr>
        <w:rFonts w:hint="default"/>
        <w:sz w:val="16"/>
        <w:szCs w:val="16"/>
      </w:rPr>
    </w:lvl>
    <w:lvl w:ilvl="3">
      <w:start w:val="1"/>
      <w:numFmt w:val="lowerRoman"/>
      <w:pStyle w:val="TCLevel2"/>
      <w:lvlText w:val="(%4)"/>
      <w:lvlJc w:val="left"/>
      <w:pPr>
        <w:ind w:left="1361" w:hanging="681"/>
      </w:pPr>
      <w:rPr>
        <w:rFonts w:ascii="Calibri" w:hAnsi="Calibri" w:hint="default"/>
        <w:b w:val="0"/>
        <w:i w:val="0"/>
        <w:sz w:val="17"/>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D746DE"/>
    <w:multiLevelType w:val="multilevel"/>
    <w:tmpl w:val="FD46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C5BB1"/>
    <w:multiLevelType w:val="multilevel"/>
    <w:tmpl w:val="FD2E6B9C"/>
    <w:styleLink w:val="HMIListNumbers"/>
    <w:lvl w:ilvl="0">
      <w:start w:val="1"/>
      <w:numFmt w:val="decimal"/>
      <w:pStyle w:val="ListNumber"/>
      <w:lvlText w:val="%1."/>
      <w:lvlJc w:val="right"/>
      <w:pPr>
        <w:ind w:left="740" w:hanging="360"/>
      </w:pPr>
      <w:rPr>
        <w:rFonts w:hint="default"/>
        <w:color w:val="080808"/>
      </w:rPr>
    </w:lvl>
    <w:lvl w:ilvl="1">
      <w:start w:val="1"/>
      <w:numFmt w:val="lowerLetter"/>
      <w:lvlText w:val="%2."/>
      <w:lvlJc w:val="left"/>
      <w:pPr>
        <w:tabs>
          <w:tab w:val="num" w:pos="1111"/>
        </w:tabs>
        <w:ind w:left="1111" w:hanging="357"/>
      </w:pPr>
      <w:rPr>
        <w:rFonts w:hint="default"/>
        <w:color w:val="0097BA"/>
      </w:rPr>
    </w:lvl>
    <w:lvl w:ilvl="2">
      <w:start w:val="1"/>
      <w:numFmt w:val="lowerRoman"/>
      <w:lvlText w:val="%3."/>
      <w:lvlJc w:val="left"/>
      <w:pPr>
        <w:tabs>
          <w:tab w:val="num" w:pos="1469"/>
        </w:tabs>
        <w:ind w:left="1469" w:hanging="358"/>
      </w:pPr>
      <w:rPr>
        <w:rFonts w:hint="default"/>
        <w:color w:val="0097B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4"/>
  </w:num>
  <w:num w:numId="3">
    <w:abstractNumId w:val="19"/>
  </w:num>
  <w:num w:numId="4">
    <w:abstractNumId w:val="29"/>
  </w:num>
  <w:num w:numId="5">
    <w:abstractNumId w:val="19"/>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6"/>
  </w:num>
  <w:num w:numId="14">
    <w:abstractNumId w:val="9"/>
  </w:num>
  <w:num w:numId="15">
    <w:abstractNumId w:val="10"/>
  </w:num>
  <w:num w:numId="16">
    <w:abstractNumId w:val="15"/>
  </w:num>
  <w:num w:numId="17">
    <w:abstractNumId w:val="16"/>
  </w:num>
  <w:num w:numId="18">
    <w:abstractNumId w:val="0"/>
  </w:num>
  <w:num w:numId="19">
    <w:abstractNumId w:val="18"/>
  </w:num>
  <w:num w:numId="20">
    <w:abstractNumId w:val="18"/>
    <w:lvlOverride w:ilvl="0">
      <w:startOverride w:val="1"/>
    </w:lvlOverride>
  </w:num>
  <w:num w:numId="21">
    <w:abstractNumId w:val="3"/>
  </w:num>
  <w:num w:numId="22">
    <w:abstractNumId w:val="3"/>
    <w:lvlOverride w:ilvl="0">
      <w:startOverride w:val="1"/>
    </w:lvlOverride>
  </w:num>
  <w:num w:numId="23">
    <w:abstractNumId w:val="1"/>
  </w:num>
  <w:num w:numId="24">
    <w:abstractNumId w:val="8"/>
  </w:num>
  <w:num w:numId="25">
    <w:abstractNumId w:val="23"/>
  </w:num>
  <w:num w:numId="26">
    <w:abstractNumId w:val="27"/>
  </w:num>
  <w:num w:numId="27">
    <w:abstractNumId w:val="12"/>
  </w:num>
  <w:num w:numId="28">
    <w:abstractNumId w:val="22"/>
    <w:lvlOverride w:ilvl="0">
      <w:startOverride w:val="1"/>
      <w:lvl w:ilvl="0">
        <w:start w:val="1"/>
        <w:numFmt w:val="decimal"/>
        <w:lvlText w:val="%1"/>
        <w:lvlJc w:val="left"/>
        <w:pPr>
          <w:ind w:left="567" w:hanging="567"/>
        </w:pPr>
        <w:rPr>
          <w:rFonts w:ascii="Arial Bold" w:hAnsi="Arial Bold" w:hint="default"/>
          <w:b/>
          <w:caps/>
          <w:smallCaps w:val="0"/>
          <w:sz w:val="16"/>
        </w:rPr>
      </w:lvl>
    </w:lvlOverride>
    <w:lvlOverride w:ilvl="1">
      <w:startOverride w:val="1"/>
      <w:lvl w:ilvl="1">
        <w:start w:val="1"/>
        <w:numFmt w:val="decimal"/>
        <w:pStyle w:val="DownerListNumber2"/>
        <w:lvlText w:val="%1.%2"/>
        <w:lvlJc w:val="left"/>
        <w:pPr>
          <w:ind w:left="567" w:hanging="567"/>
        </w:pPr>
        <w:rPr>
          <w:rFonts w:ascii="Arial Bold" w:hAnsi="Arial Bold" w:hint="default"/>
          <w:b/>
          <w:i w:val="0"/>
          <w:sz w:val="16"/>
        </w:rPr>
      </w:lvl>
    </w:lvlOverride>
    <w:lvlOverride w:ilvl="2">
      <w:startOverride w:val="1"/>
      <w:lvl w:ilvl="2">
        <w:start w:val="1"/>
        <w:numFmt w:val="none"/>
        <w:suff w:val="nothing"/>
        <w:lvlText w:val="%3"/>
        <w:lvlJc w:val="left"/>
        <w:pPr>
          <w:ind w:left="0" w:firstLine="0"/>
        </w:pPr>
        <w:rPr>
          <w:rFonts w:ascii="Arial" w:hAnsi="Arial" w:hint="default"/>
          <w:sz w:val="16"/>
        </w:rPr>
      </w:lvl>
    </w:lvlOverride>
    <w:lvlOverride w:ilvl="3">
      <w:startOverride w:val="1"/>
      <w:lvl w:ilvl="3">
        <w:start w:val="1"/>
        <w:numFmt w:val="lowerLetter"/>
        <w:pStyle w:val="DownerListNumber4"/>
        <w:lvlText w:val="(%4)"/>
        <w:lvlJc w:val="left"/>
        <w:pPr>
          <w:ind w:left="567" w:hanging="567"/>
        </w:pPr>
        <w:rPr>
          <w:rFonts w:ascii="Arial" w:hAnsi="Arial" w:hint="default"/>
          <w:sz w:val="16"/>
        </w:rPr>
      </w:lvl>
    </w:lvlOverride>
    <w:lvlOverride w:ilvl="4">
      <w:startOverride w:val="1"/>
      <w:lvl w:ilvl="4">
        <w:start w:val="1"/>
        <w:numFmt w:val="lowerRoman"/>
        <w:pStyle w:val="DownerListNumber5"/>
        <w:lvlText w:val="(%5)"/>
        <w:lvlJc w:val="left"/>
        <w:pPr>
          <w:ind w:left="1134" w:hanging="567"/>
        </w:pPr>
        <w:rPr>
          <w:rFonts w:ascii="Arial" w:hAnsi="Arial" w:hint="default"/>
          <w:sz w:val="16"/>
        </w:rPr>
      </w:lvl>
    </w:lvlOverride>
    <w:lvlOverride w:ilvl="5">
      <w:startOverride w:val="1"/>
      <w:lvl w:ilvl="5">
        <w:start w:val="1"/>
        <w:numFmt w:val="upperLetter"/>
        <w:pStyle w:val="DownerListNumber6"/>
        <w:lvlText w:val="(%6)"/>
        <w:lvlJc w:val="left"/>
        <w:pPr>
          <w:ind w:left="1701" w:hanging="567"/>
        </w:pPr>
        <w:rPr>
          <w:rFonts w:ascii="Arial" w:hAnsi="Arial" w:hint="default"/>
          <w:sz w:val="16"/>
        </w:rPr>
      </w:lvl>
    </w:lvlOverride>
    <w:lvlOverride w:ilvl="6">
      <w:startOverride w:val="1"/>
      <w:lvl w:ilvl="6">
        <w:start w:val="1"/>
        <w:numFmt w:val="decimal"/>
        <w:lvlText w:val="%7."/>
        <w:lvlJc w:val="left"/>
        <w:pPr>
          <w:tabs>
            <w:tab w:val="num" w:pos="8225"/>
          </w:tabs>
          <w:ind w:left="567" w:hanging="567"/>
        </w:pPr>
        <w:rPr>
          <w:rFonts w:hint="default"/>
        </w:rPr>
      </w:lvl>
    </w:lvlOverride>
    <w:lvlOverride w:ilvl="7">
      <w:startOverride w:val="1"/>
      <w:lvl w:ilvl="7">
        <w:start w:val="1"/>
        <w:numFmt w:val="lowerLetter"/>
        <w:lvlText w:val="%8."/>
        <w:lvlJc w:val="left"/>
        <w:pPr>
          <w:tabs>
            <w:tab w:val="num" w:pos="9076"/>
          </w:tabs>
          <w:ind w:left="567" w:hanging="567"/>
        </w:pPr>
        <w:rPr>
          <w:rFonts w:hint="default"/>
        </w:rPr>
      </w:lvl>
    </w:lvlOverride>
    <w:lvlOverride w:ilvl="8">
      <w:startOverride w:val="1"/>
      <w:lvl w:ilvl="8">
        <w:start w:val="1"/>
        <w:numFmt w:val="lowerRoman"/>
        <w:lvlText w:val="%9."/>
        <w:lvlJc w:val="left"/>
        <w:pPr>
          <w:tabs>
            <w:tab w:val="num" w:pos="9927"/>
          </w:tabs>
          <w:ind w:left="567" w:hanging="567"/>
        </w:pPr>
        <w:rPr>
          <w:rFonts w:hint="default"/>
        </w:rPr>
      </w:lvl>
    </w:lvlOverride>
  </w:num>
  <w:num w:numId="29">
    <w:abstractNumId w:val="7"/>
  </w:num>
  <w:num w:numId="30">
    <w:abstractNumId w:val="24"/>
  </w:num>
  <w:num w:numId="31">
    <w:abstractNumId w:val="13"/>
  </w:num>
  <w:num w:numId="32">
    <w:abstractNumId w:val="28"/>
  </w:num>
  <w:num w:numId="33">
    <w:abstractNumId w:val="2"/>
  </w:num>
  <w:num w:numId="34">
    <w:abstractNumId w:val="4"/>
  </w:num>
  <w:num w:numId="35">
    <w:abstractNumId w:val="17"/>
  </w:num>
  <w:num w:numId="36">
    <w:abstractNumId w:val="25"/>
  </w:num>
  <w:num w:numId="37">
    <w:abstractNumId w:val="6"/>
  </w:num>
  <w:num w:numId="38">
    <w:abstractNumId w:val="20"/>
  </w:num>
  <w:num w:numId="3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50"/>
    <w:rsid w:val="00010EEC"/>
    <w:rsid w:val="00024BF0"/>
    <w:rsid w:val="000533A6"/>
    <w:rsid w:val="00060C86"/>
    <w:rsid w:val="0006411C"/>
    <w:rsid w:val="000646C9"/>
    <w:rsid w:val="00077D80"/>
    <w:rsid w:val="000D1D6B"/>
    <w:rsid w:val="000F3C71"/>
    <w:rsid w:val="00115535"/>
    <w:rsid w:val="00125FF5"/>
    <w:rsid w:val="00133586"/>
    <w:rsid w:val="00170AC5"/>
    <w:rsid w:val="00194172"/>
    <w:rsid w:val="001A02B5"/>
    <w:rsid w:val="001E03C5"/>
    <w:rsid w:val="001E536B"/>
    <w:rsid w:val="001E60B5"/>
    <w:rsid w:val="001F6A30"/>
    <w:rsid w:val="00220D05"/>
    <w:rsid w:val="00224093"/>
    <w:rsid w:val="00271905"/>
    <w:rsid w:val="00280D87"/>
    <w:rsid w:val="0028222A"/>
    <w:rsid w:val="002864CB"/>
    <w:rsid w:val="002D6E9B"/>
    <w:rsid w:val="00303628"/>
    <w:rsid w:val="003177CE"/>
    <w:rsid w:val="003224EF"/>
    <w:rsid w:val="00322963"/>
    <w:rsid w:val="00342691"/>
    <w:rsid w:val="00344453"/>
    <w:rsid w:val="003A4564"/>
    <w:rsid w:val="003B08E9"/>
    <w:rsid w:val="003B3120"/>
    <w:rsid w:val="003C0BC2"/>
    <w:rsid w:val="003D2A3E"/>
    <w:rsid w:val="003E5482"/>
    <w:rsid w:val="003E5C41"/>
    <w:rsid w:val="00400B06"/>
    <w:rsid w:val="00400FDB"/>
    <w:rsid w:val="00402A0C"/>
    <w:rsid w:val="00412DBD"/>
    <w:rsid w:val="004147F8"/>
    <w:rsid w:val="0044307F"/>
    <w:rsid w:val="00483728"/>
    <w:rsid w:val="004A3D92"/>
    <w:rsid w:val="004B0FEB"/>
    <w:rsid w:val="004C1F9C"/>
    <w:rsid w:val="004D73B0"/>
    <w:rsid w:val="004F2B0B"/>
    <w:rsid w:val="004F7C30"/>
    <w:rsid w:val="005110E7"/>
    <w:rsid w:val="00554409"/>
    <w:rsid w:val="00576342"/>
    <w:rsid w:val="00586765"/>
    <w:rsid w:val="005A0708"/>
    <w:rsid w:val="005C78B8"/>
    <w:rsid w:val="005C7D9E"/>
    <w:rsid w:val="005D0866"/>
    <w:rsid w:val="005E384B"/>
    <w:rsid w:val="006161B4"/>
    <w:rsid w:val="00624C10"/>
    <w:rsid w:val="006B72AD"/>
    <w:rsid w:val="006C610F"/>
    <w:rsid w:val="006F3A4A"/>
    <w:rsid w:val="00711AC0"/>
    <w:rsid w:val="00711B18"/>
    <w:rsid w:val="00723460"/>
    <w:rsid w:val="00772261"/>
    <w:rsid w:val="00782227"/>
    <w:rsid w:val="007A4F4E"/>
    <w:rsid w:val="0080096A"/>
    <w:rsid w:val="0080330C"/>
    <w:rsid w:val="00840E7E"/>
    <w:rsid w:val="008500E4"/>
    <w:rsid w:val="00855E0C"/>
    <w:rsid w:val="00884177"/>
    <w:rsid w:val="0089687A"/>
    <w:rsid w:val="008C7161"/>
    <w:rsid w:val="008D64B0"/>
    <w:rsid w:val="008F22A5"/>
    <w:rsid w:val="00965318"/>
    <w:rsid w:val="009925A5"/>
    <w:rsid w:val="009A3EA3"/>
    <w:rsid w:val="009A4AD0"/>
    <w:rsid w:val="009B11F4"/>
    <w:rsid w:val="009C4B96"/>
    <w:rsid w:val="009D1914"/>
    <w:rsid w:val="009D6F66"/>
    <w:rsid w:val="009E4522"/>
    <w:rsid w:val="009F1AFC"/>
    <w:rsid w:val="00A135BC"/>
    <w:rsid w:val="00A137CA"/>
    <w:rsid w:val="00A2584F"/>
    <w:rsid w:val="00A33657"/>
    <w:rsid w:val="00A3501E"/>
    <w:rsid w:val="00A56520"/>
    <w:rsid w:val="00A70FA5"/>
    <w:rsid w:val="00A71B3A"/>
    <w:rsid w:val="00A71F1D"/>
    <w:rsid w:val="00A817E9"/>
    <w:rsid w:val="00AB5633"/>
    <w:rsid w:val="00B145FF"/>
    <w:rsid w:val="00B57080"/>
    <w:rsid w:val="00B65F18"/>
    <w:rsid w:val="00BC2055"/>
    <w:rsid w:val="00BC31DB"/>
    <w:rsid w:val="00BC39E0"/>
    <w:rsid w:val="00BD7683"/>
    <w:rsid w:val="00C01797"/>
    <w:rsid w:val="00C056D1"/>
    <w:rsid w:val="00C113D5"/>
    <w:rsid w:val="00C11AB8"/>
    <w:rsid w:val="00C439FD"/>
    <w:rsid w:val="00C44350"/>
    <w:rsid w:val="00C459CC"/>
    <w:rsid w:val="00C97E2B"/>
    <w:rsid w:val="00D02AE9"/>
    <w:rsid w:val="00D55E60"/>
    <w:rsid w:val="00DC4D0A"/>
    <w:rsid w:val="00E66356"/>
    <w:rsid w:val="00EB0EBC"/>
    <w:rsid w:val="00EC0FD1"/>
    <w:rsid w:val="00EC2AAD"/>
    <w:rsid w:val="00EC7365"/>
    <w:rsid w:val="00ED2EDA"/>
    <w:rsid w:val="00F14B2E"/>
    <w:rsid w:val="00F16315"/>
    <w:rsid w:val="00F2363B"/>
    <w:rsid w:val="00F72396"/>
    <w:rsid w:val="00F8329D"/>
    <w:rsid w:val="00FA7F5A"/>
    <w:rsid w:val="00FD4DB7"/>
    <w:rsid w:val="00FE141F"/>
    <w:rsid w:val="00FE1BAE"/>
    <w:rsid w:val="00FE62D8"/>
    <w:rsid w:val="00FE7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FB9D"/>
  <w15:chartTrackingRefBased/>
  <w15:docId w15:val="{8AB3CD20-3C57-4691-95C1-93C07272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C"/>
    <w:pPr>
      <w:spacing w:line="240" w:lineRule="auto"/>
    </w:pPr>
    <w:rPr>
      <w:rFonts w:ascii="Arial" w:hAnsi="Arial"/>
      <w:color w:val="333333"/>
      <w:sz w:val="20"/>
      <w:lang w:val="en-GB"/>
    </w:rPr>
  </w:style>
  <w:style w:type="paragraph" w:styleId="Heading1">
    <w:name w:val="heading 1"/>
    <w:next w:val="BodyText"/>
    <w:link w:val="Heading1Char"/>
    <w:qFormat/>
    <w:rsid w:val="00303628"/>
    <w:pPr>
      <w:spacing w:after="140" w:line="240" w:lineRule="auto"/>
      <w:contextualSpacing/>
      <w:outlineLvl w:val="0"/>
    </w:pPr>
    <w:rPr>
      <w:rFonts w:ascii="Arial" w:hAnsi="Arial"/>
      <w:b/>
      <w:color w:val="080808"/>
      <w:sz w:val="45"/>
      <w:szCs w:val="18"/>
      <w:lang w:val="en-GB"/>
    </w:rPr>
  </w:style>
  <w:style w:type="paragraph" w:styleId="Heading2">
    <w:name w:val="heading 2"/>
    <w:basedOn w:val="BodyTextNoSpacing"/>
    <w:next w:val="BodyText"/>
    <w:link w:val="Heading2Char"/>
    <w:qFormat/>
    <w:rsid w:val="004F7C30"/>
    <w:pPr>
      <w:spacing w:before="300" w:after="80"/>
      <w:contextualSpacing/>
      <w:outlineLvl w:val="1"/>
    </w:pPr>
    <w:rPr>
      <w:sz w:val="25"/>
    </w:rPr>
  </w:style>
  <w:style w:type="paragraph" w:styleId="Heading3">
    <w:name w:val="heading 3"/>
    <w:basedOn w:val="BodyTextNoSpacing"/>
    <w:next w:val="BodyText"/>
    <w:link w:val="Heading3Char"/>
    <w:qFormat/>
    <w:rsid w:val="00303628"/>
    <w:pPr>
      <w:spacing w:before="300" w:after="100"/>
      <w:contextualSpacing/>
      <w:outlineLvl w:val="2"/>
    </w:pPr>
    <w:rPr>
      <w:sz w:val="23"/>
    </w:rPr>
  </w:style>
  <w:style w:type="paragraph" w:styleId="Heading4">
    <w:name w:val="heading 4"/>
    <w:next w:val="BodyText"/>
    <w:link w:val="Heading4Char"/>
    <w:qFormat/>
    <w:rsid w:val="004F7C30"/>
    <w:pPr>
      <w:spacing w:before="230" w:after="100" w:line="240" w:lineRule="auto"/>
      <w:contextualSpacing/>
      <w:outlineLvl w:val="3"/>
    </w:pPr>
    <w:rPr>
      <w:rFonts w:ascii="Arial" w:hAnsi="Arial"/>
      <w:color w:val="080808"/>
      <w:sz w:val="20"/>
      <w:szCs w:val="18"/>
      <w:lang w:val="en-GB"/>
    </w:rPr>
  </w:style>
  <w:style w:type="paragraph" w:styleId="Heading5">
    <w:name w:val="heading 5"/>
    <w:basedOn w:val="Normal"/>
    <w:next w:val="BodyText"/>
    <w:link w:val="Heading5Char"/>
    <w:semiHidden/>
    <w:qFormat/>
    <w:rsid w:val="003D2A3E"/>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3D2A3E"/>
    <w:pPr>
      <w:keepNext/>
      <w:keepLines/>
      <w:spacing w:before="200" w:after="1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0BC2"/>
    <w:pPr>
      <w:spacing w:after="210"/>
    </w:pPr>
    <w:rPr>
      <w:color w:val="080808"/>
      <w:szCs w:val="18"/>
    </w:rPr>
  </w:style>
  <w:style w:type="character" w:customStyle="1" w:styleId="BodyTextChar">
    <w:name w:val="Body Text Char"/>
    <w:basedOn w:val="DefaultParagraphFont"/>
    <w:link w:val="BodyText"/>
    <w:rsid w:val="003C0BC2"/>
    <w:rPr>
      <w:rFonts w:ascii="Arial" w:hAnsi="Arial"/>
      <w:color w:val="080808"/>
      <w:sz w:val="20"/>
      <w:szCs w:val="18"/>
      <w:lang w:val="en-GB"/>
    </w:rPr>
  </w:style>
  <w:style w:type="numbering" w:customStyle="1" w:styleId="BulletList">
    <w:name w:val="Bullet List"/>
    <w:basedOn w:val="NoList"/>
    <w:uiPriority w:val="99"/>
    <w:rsid w:val="003D2A3E"/>
    <w:pPr>
      <w:numPr>
        <w:numId w:val="1"/>
      </w:numPr>
    </w:pPr>
  </w:style>
  <w:style w:type="paragraph" w:styleId="Footer">
    <w:name w:val="footer"/>
    <w:basedOn w:val="Normal"/>
    <w:link w:val="FooterChar"/>
    <w:uiPriority w:val="99"/>
    <w:rsid w:val="003A4564"/>
    <w:pPr>
      <w:tabs>
        <w:tab w:val="right" w:pos="9809"/>
      </w:tabs>
    </w:pPr>
    <w:rPr>
      <w:color w:val="545559"/>
      <w:sz w:val="23"/>
    </w:rPr>
  </w:style>
  <w:style w:type="character" w:customStyle="1" w:styleId="FooterChar">
    <w:name w:val="Footer Char"/>
    <w:basedOn w:val="DefaultParagraphFont"/>
    <w:link w:val="Footer"/>
    <w:uiPriority w:val="99"/>
    <w:rsid w:val="003A4564"/>
    <w:rPr>
      <w:rFonts w:ascii="Arial" w:hAnsi="Arial"/>
      <w:color w:val="545559"/>
      <w:sz w:val="23"/>
      <w:lang w:val="en-GB"/>
    </w:rPr>
  </w:style>
  <w:style w:type="paragraph" w:styleId="Header">
    <w:name w:val="header"/>
    <w:basedOn w:val="Normal"/>
    <w:link w:val="HeaderChar"/>
    <w:uiPriority w:val="99"/>
    <w:rsid w:val="001E60B5"/>
    <w:pPr>
      <w:tabs>
        <w:tab w:val="center" w:pos="4513"/>
        <w:tab w:val="right" w:pos="9026"/>
      </w:tabs>
      <w:ind w:left="3402"/>
      <w:jc w:val="right"/>
    </w:pPr>
    <w:rPr>
      <w:color w:val="080808"/>
      <w:sz w:val="23"/>
    </w:rPr>
  </w:style>
  <w:style w:type="character" w:customStyle="1" w:styleId="HeaderChar">
    <w:name w:val="Header Char"/>
    <w:basedOn w:val="DefaultParagraphFont"/>
    <w:link w:val="Header"/>
    <w:uiPriority w:val="99"/>
    <w:rsid w:val="001E60B5"/>
    <w:rPr>
      <w:rFonts w:ascii="Arial" w:hAnsi="Arial"/>
      <w:color w:val="080808"/>
      <w:sz w:val="23"/>
      <w:lang w:val="en-GB"/>
    </w:rPr>
  </w:style>
  <w:style w:type="character" w:customStyle="1" w:styleId="Heading1Char">
    <w:name w:val="Heading 1 Char"/>
    <w:basedOn w:val="DefaultParagraphFont"/>
    <w:link w:val="Heading1"/>
    <w:rsid w:val="00303628"/>
    <w:rPr>
      <w:rFonts w:ascii="Arial" w:hAnsi="Arial"/>
      <w:b/>
      <w:color w:val="080808"/>
      <w:sz w:val="45"/>
      <w:szCs w:val="18"/>
      <w:lang w:val="en-GB"/>
    </w:rPr>
  </w:style>
  <w:style w:type="character" w:customStyle="1" w:styleId="Heading2Char">
    <w:name w:val="Heading 2 Char"/>
    <w:basedOn w:val="DefaultParagraphFont"/>
    <w:link w:val="Heading2"/>
    <w:rsid w:val="004F7C30"/>
    <w:rPr>
      <w:rFonts w:ascii="Arial" w:hAnsi="Arial"/>
      <w:color w:val="080808"/>
      <w:sz w:val="25"/>
      <w:szCs w:val="18"/>
      <w:lang w:val="en-GB"/>
    </w:rPr>
  </w:style>
  <w:style w:type="character" w:customStyle="1" w:styleId="Heading3Char">
    <w:name w:val="Heading 3 Char"/>
    <w:basedOn w:val="DefaultParagraphFont"/>
    <w:link w:val="Heading3"/>
    <w:rsid w:val="00303628"/>
    <w:rPr>
      <w:rFonts w:ascii="Arial" w:hAnsi="Arial"/>
      <w:color w:val="080808"/>
      <w:sz w:val="23"/>
      <w:szCs w:val="18"/>
      <w:lang w:val="en-GB"/>
    </w:rPr>
  </w:style>
  <w:style w:type="character" w:customStyle="1" w:styleId="Heading4Char">
    <w:name w:val="Heading 4 Char"/>
    <w:basedOn w:val="DefaultParagraphFont"/>
    <w:link w:val="Heading4"/>
    <w:rsid w:val="004F7C30"/>
    <w:rPr>
      <w:rFonts w:ascii="Arial" w:hAnsi="Arial"/>
      <w:color w:val="080808"/>
      <w:sz w:val="20"/>
      <w:szCs w:val="18"/>
      <w:lang w:val="en-GB"/>
    </w:rPr>
  </w:style>
  <w:style w:type="character" w:customStyle="1" w:styleId="Heading5Char">
    <w:name w:val="Heading 5 Char"/>
    <w:basedOn w:val="DefaultParagraphFont"/>
    <w:link w:val="Heading5"/>
    <w:semiHidden/>
    <w:rsid w:val="00342691"/>
    <w:rPr>
      <w:rFonts w:asciiTheme="majorHAnsi" w:eastAsiaTheme="majorEastAsia" w:hAnsiTheme="majorHAnsi" w:cstheme="majorBidi"/>
      <w:i/>
      <w:color w:val="333333"/>
      <w:sz w:val="20"/>
      <w:lang w:val="en-GB"/>
    </w:rPr>
  </w:style>
  <w:style w:type="character" w:customStyle="1" w:styleId="Heading6Char">
    <w:name w:val="Heading 6 Char"/>
    <w:basedOn w:val="DefaultParagraphFont"/>
    <w:link w:val="Heading6"/>
    <w:semiHidden/>
    <w:rsid w:val="003D2A3E"/>
    <w:rPr>
      <w:rFonts w:asciiTheme="majorHAnsi" w:eastAsiaTheme="majorEastAsia" w:hAnsiTheme="majorHAnsi" w:cstheme="majorBidi"/>
      <w:b/>
      <w:color w:val="333333"/>
      <w:sz w:val="20"/>
      <w:lang w:val="en-GB"/>
    </w:rPr>
  </w:style>
  <w:style w:type="paragraph" w:styleId="List">
    <w:name w:val="List"/>
    <w:basedOn w:val="BodyText"/>
    <w:uiPriority w:val="1"/>
    <w:semiHidden/>
    <w:unhideWhenUsed/>
    <w:rsid w:val="003D2A3E"/>
    <w:pPr>
      <w:spacing w:before="100"/>
      <w:ind w:left="284" w:hanging="284"/>
    </w:pPr>
  </w:style>
  <w:style w:type="paragraph" w:styleId="List2">
    <w:name w:val="List 2"/>
    <w:basedOn w:val="BodyText"/>
    <w:uiPriority w:val="1"/>
    <w:semiHidden/>
    <w:unhideWhenUsed/>
    <w:rsid w:val="003D2A3E"/>
    <w:pPr>
      <w:ind w:left="567"/>
    </w:pPr>
  </w:style>
  <w:style w:type="paragraph" w:styleId="List3">
    <w:name w:val="List 3"/>
    <w:basedOn w:val="BodyText"/>
    <w:uiPriority w:val="1"/>
    <w:semiHidden/>
    <w:unhideWhenUsed/>
    <w:rsid w:val="003D2A3E"/>
    <w:pPr>
      <w:ind w:left="851"/>
    </w:pPr>
  </w:style>
  <w:style w:type="paragraph" w:styleId="List4">
    <w:name w:val="List 4"/>
    <w:basedOn w:val="BodyText"/>
    <w:uiPriority w:val="1"/>
    <w:semiHidden/>
    <w:unhideWhenUsed/>
    <w:rsid w:val="003D2A3E"/>
    <w:pPr>
      <w:ind w:left="1134"/>
    </w:pPr>
  </w:style>
  <w:style w:type="paragraph" w:styleId="List5">
    <w:name w:val="List 5"/>
    <w:basedOn w:val="BodyText"/>
    <w:uiPriority w:val="1"/>
    <w:semiHidden/>
    <w:unhideWhenUsed/>
    <w:rsid w:val="003D2A3E"/>
    <w:pPr>
      <w:ind w:left="1418"/>
    </w:pPr>
  </w:style>
  <w:style w:type="paragraph" w:styleId="ListBullet">
    <w:name w:val="List Bullet"/>
    <w:qFormat/>
    <w:rsid w:val="00271905"/>
    <w:pPr>
      <w:numPr>
        <w:numId w:val="5"/>
      </w:numPr>
      <w:spacing w:after="210" w:line="240" w:lineRule="auto"/>
      <w:ind w:left="737" w:hanging="357"/>
      <w:contextualSpacing/>
    </w:pPr>
    <w:rPr>
      <w:rFonts w:ascii="Arial" w:hAnsi="Arial"/>
      <w:color w:val="080808"/>
      <w:sz w:val="18"/>
      <w:szCs w:val="18"/>
      <w:lang w:val="en-GB"/>
    </w:rPr>
  </w:style>
  <w:style w:type="paragraph" w:styleId="ListBullet2">
    <w:name w:val="List Bullet 2"/>
    <w:qFormat/>
    <w:rsid w:val="008500E4"/>
    <w:pPr>
      <w:numPr>
        <w:numId w:val="12"/>
      </w:numPr>
      <w:spacing w:after="210" w:line="240" w:lineRule="auto"/>
      <w:ind w:left="1134" w:hanging="357"/>
      <w:contextualSpacing/>
    </w:pPr>
    <w:rPr>
      <w:rFonts w:ascii="Arial" w:hAnsi="Arial"/>
      <w:color w:val="080808"/>
      <w:sz w:val="18"/>
      <w:szCs w:val="18"/>
      <w:lang w:val="en-GB"/>
    </w:rPr>
  </w:style>
  <w:style w:type="paragraph" w:styleId="ListBullet3">
    <w:name w:val="List Bullet 3"/>
    <w:qFormat/>
    <w:rsid w:val="008500E4"/>
    <w:pPr>
      <w:numPr>
        <w:numId w:val="13"/>
      </w:numPr>
      <w:spacing w:after="210" w:line="240" w:lineRule="auto"/>
      <w:ind w:left="1474" w:hanging="357"/>
      <w:contextualSpacing/>
    </w:pPr>
    <w:rPr>
      <w:rFonts w:ascii="Arial" w:hAnsi="Arial"/>
      <w:color w:val="080808"/>
      <w:sz w:val="18"/>
      <w:szCs w:val="18"/>
      <w:lang w:val="en-GB"/>
    </w:rPr>
  </w:style>
  <w:style w:type="paragraph" w:styleId="ListContinue">
    <w:name w:val="List Continue"/>
    <w:qFormat/>
    <w:rsid w:val="003B08E9"/>
    <w:pPr>
      <w:spacing w:after="210" w:line="240" w:lineRule="auto"/>
      <w:ind w:left="737"/>
      <w:contextualSpacing/>
    </w:pPr>
    <w:rPr>
      <w:rFonts w:ascii="Arial" w:hAnsi="Arial"/>
      <w:color w:val="080808"/>
      <w:sz w:val="18"/>
      <w:szCs w:val="18"/>
      <w:lang w:val="en-GB"/>
    </w:rPr>
  </w:style>
  <w:style w:type="paragraph" w:styleId="ListContinue2">
    <w:name w:val="List Continue 2"/>
    <w:qFormat/>
    <w:rsid w:val="003B08E9"/>
    <w:pPr>
      <w:spacing w:after="210" w:line="240" w:lineRule="auto"/>
      <w:ind w:left="1134"/>
      <w:contextualSpacing/>
    </w:pPr>
    <w:rPr>
      <w:rFonts w:ascii="Arial" w:hAnsi="Arial"/>
      <w:color w:val="080808"/>
      <w:sz w:val="18"/>
      <w:szCs w:val="18"/>
      <w:lang w:val="en-GB"/>
    </w:rPr>
  </w:style>
  <w:style w:type="paragraph" w:styleId="ListContinue3">
    <w:name w:val="List Continue 3"/>
    <w:qFormat/>
    <w:rsid w:val="003B08E9"/>
    <w:pPr>
      <w:spacing w:after="210" w:line="240" w:lineRule="auto"/>
      <w:ind w:left="1474"/>
      <w:contextualSpacing/>
    </w:pPr>
    <w:rPr>
      <w:rFonts w:ascii="Arial" w:hAnsi="Arial"/>
      <w:color w:val="080808"/>
      <w:sz w:val="18"/>
      <w:szCs w:val="18"/>
      <w:lang w:val="en-GB"/>
    </w:rPr>
  </w:style>
  <w:style w:type="paragraph" w:styleId="ListContinue4">
    <w:name w:val="List Continue 4"/>
    <w:qFormat/>
    <w:rsid w:val="00194172"/>
    <w:pPr>
      <w:spacing w:after="210" w:line="240" w:lineRule="auto"/>
      <w:ind w:left="1814"/>
      <w:contextualSpacing/>
    </w:pPr>
    <w:rPr>
      <w:rFonts w:ascii="Arial" w:hAnsi="Arial"/>
      <w:color w:val="080808"/>
      <w:sz w:val="18"/>
      <w:szCs w:val="18"/>
      <w:lang w:val="en-GB"/>
    </w:rPr>
  </w:style>
  <w:style w:type="paragraph" w:styleId="ListContinue5">
    <w:name w:val="List Continue 5"/>
    <w:qFormat/>
    <w:rsid w:val="00A3501E"/>
    <w:pPr>
      <w:spacing w:after="210" w:line="240" w:lineRule="auto"/>
      <w:ind w:left="2211"/>
      <w:contextualSpacing/>
    </w:pPr>
    <w:rPr>
      <w:rFonts w:ascii="Arial" w:hAnsi="Arial"/>
      <w:color w:val="080808"/>
      <w:sz w:val="18"/>
      <w:szCs w:val="18"/>
      <w:lang w:val="en-GB"/>
    </w:rPr>
  </w:style>
  <w:style w:type="paragraph" w:styleId="ListNumber">
    <w:name w:val="List Number"/>
    <w:uiPriority w:val="99"/>
    <w:qFormat/>
    <w:rsid w:val="00B65F18"/>
    <w:pPr>
      <w:numPr>
        <w:numId w:val="4"/>
      </w:numPr>
      <w:spacing w:after="210" w:line="240" w:lineRule="auto"/>
      <w:ind w:left="737" w:hanging="357"/>
      <w:contextualSpacing/>
    </w:pPr>
    <w:rPr>
      <w:rFonts w:ascii="Arial" w:hAnsi="Arial"/>
      <w:color w:val="080808"/>
      <w:sz w:val="18"/>
      <w:szCs w:val="18"/>
      <w:lang w:val="en-GB"/>
    </w:rPr>
  </w:style>
  <w:style w:type="paragraph" w:styleId="ListNumber2">
    <w:name w:val="List Number 2"/>
    <w:uiPriority w:val="99"/>
    <w:qFormat/>
    <w:rsid w:val="00B65F18"/>
    <w:pPr>
      <w:numPr>
        <w:numId w:val="19"/>
      </w:numPr>
      <w:spacing w:after="210" w:line="240" w:lineRule="auto"/>
      <w:ind w:left="1134" w:hanging="357"/>
      <w:contextualSpacing/>
    </w:pPr>
    <w:rPr>
      <w:rFonts w:ascii="Arial" w:hAnsi="Arial"/>
      <w:color w:val="080808"/>
      <w:sz w:val="18"/>
      <w:szCs w:val="18"/>
      <w:lang w:val="en-GB"/>
    </w:rPr>
  </w:style>
  <w:style w:type="paragraph" w:styleId="ListNumber3">
    <w:name w:val="List Number 3"/>
    <w:qFormat/>
    <w:rsid w:val="00B65F18"/>
    <w:pPr>
      <w:numPr>
        <w:numId w:val="21"/>
      </w:numPr>
      <w:spacing w:after="210" w:line="240" w:lineRule="auto"/>
      <w:contextualSpacing/>
    </w:pPr>
    <w:rPr>
      <w:rFonts w:ascii="Arial" w:hAnsi="Arial"/>
      <w:color w:val="080808"/>
      <w:sz w:val="18"/>
      <w:szCs w:val="18"/>
      <w:lang w:val="en-GB"/>
    </w:rPr>
  </w:style>
  <w:style w:type="numbering" w:customStyle="1" w:styleId="NumberList">
    <w:name w:val="Number List"/>
    <w:basedOn w:val="BulletList"/>
    <w:uiPriority w:val="99"/>
    <w:rsid w:val="003D2A3E"/>
    <w:pPr>
      <w:numPr>
        <w:numId w:val="2"/>
      </w:numPr>
    </w:pPr>
  </w:style>
  <w:style w:type="paragraph" w:styleId="Subtitle">
    <w:name w:val="Subtitle"/>
    <w:basedOn w:val="Normal"/>
    <w:next w:val="Normal"/>
    <w:link w:val="SubtitleChar"/>
    <w:qFormat/>
    <w:rsid w:val="004147F8"/>
    <w:pPr>
      <w:numPr>
        <w:ilvl w:val="1"/>
      </w:numPr>
    </w:pPr>
    <w:rPr>
      <w:rFonts w:eastAsiaTheme="minorEastAsia"/>
      <w:color w:val="080808"/>
      <w:sz w:val="31"/>
    </w:rPr>
  </w:style>
  <w:style w:type="character" w:customStyle="1" w:styleId="SubtitleChar">
    <w:name w:val="Subtitle Char"/>
    <w:basedOn w:val="DefaultParagraphFont"/>
    <w:link w:val="Subtitle"/>
    <w:rsid w:val="004147F8"/>
    <w:rPr>
      <w:rFonts w:ascii="Arial" w:eastAsiaTheme="minorEastAsia" w:hAnsi="Arial"/>
      <w:color w:val="080808"/>
      <w:sz w:val="31"/>
      <w:lang w:val="en-GB"/>
    </w:rPr>
  </w:style>
  <w:style w:type="table" w:styleId="TableGrid">
    <w:name w:val="Table Grid"/>
    <w:basedOn w:val="TableNormal"/>
    <w:uiPriority w:val="59"/>
    <w:rsid w:val="003D2A3E"/>
    <w:pPr>
      <w:spacing w:line="240" w:lineRule="auto"/>
    </w:pPr>
    <w:rPr>
      <w:rFonts w:asciiTheme="minorHAnsi" w:hAnsiTheme="minorHAnsi"/>
      <w:sz w:val="22"/>
      <w:lang w:val="en-GB"/>
    </w:rPr>
    <w:tblPr>
      <w:tblCellMar>
        <w:left w:w="0" w:type="dxa"/>
        <w:right w:w="0" w:type="dxa"/>
      </w:tblCellMar>
    </w:tblPr>
  </w:style>
  <w:style w:type="paragraph" w:customStyle="1" w:styleId="Heading1noTOC">
    <w:name w:val="Heading 1 no TOC"/>
    <w:qFormat/>
    <w:rsid w:val="00D02AE9"/>
    <w:rPr>
      <w:rFonts w:ascii="Arial" w:hAnsi="Arial"/>
      <w:b/>
      <w:color w:val="080808"/>
      <w:sz w:val="45"/>
      <w:szCs w:val="18"/>
      <w:lang w:val="en-GB"/>
    </w:rPr>
  </w:style>
  <w:style w:type="paragraph" w:customStyle="1" w:styleId="Heading2noTOC">
    <w:name w:val="Heading 2 no TOC"/>
    <w:qFormat/>
    <w:rsid w:val="00D02AE9"/>
    <w:rPr>
      <w:rFonts w:ascii="Arial" w:hAnsi="Arial"/>
      <w:color w:val="080808"/>
      <w:sz w:val="25"/>
      <w:szCs w:val="18"/>
      <w:lang w:val="en-GB"/>
    </w:rPr>
  </w:style>
  <w:style w:type="paragraph" w:styleId="TOC1">
    <w:name w:val="toc 1"/>
    <w:basedOn w:val="Normal"/>
    <w:next w:val="Normal"/>
    <w:uiPriority w:val="39"/>
    <w:unhideWhenUsed/>
    <w:rsid w:val="00576342"/>
    <w:pPr>
      <w:tabs>
        <w:tab w:val="right" w:leader="dot" w:pos="9809"/>
      </w:tabs>
      <w:spacing w:before="200" w:after="120"/>
    </w:pPr>
    <w:rPr>
      <w:b/>
      <w:sz w:val="23"/>
    </w:rPr>
  </w:style>
  <w:style w:type="paragraph" w:styleId="TOC2">
    <w:name w:val="toc 2"/>
    <w:basedOn w:val="Normal"/>
    <w:next w:val="Normal"/>
    <w:uiPriority w:val="39"/>
    <w:unhideWhenUsed/>
    <w:rsid w:val="005110E7"/>
    <w:pPr>
      <w:spacing w:after="120"/>
      <w:ind w:left="221"/>
    </w:pPr>
    <w:rPr>
      <w:sz w:val="23"/>
    </w:rPr>
  </w:style>
  <w:style w:type="paragraph" w:styleId="TOC3">
    <w:name w:val="toc 3"/>
    <w:basedOn w:val="Normal"/>
    <w:next w:val="Normal"/>
    <w:uiPriority w:val="39"/>
    <w:unhideWhenUsed/>
    <w:rsid w:val="005110E7"/>
    <w:pPr>
      <w:spacing w:after="120"/>
      <w:ind w:left="442"/>
    </w:pPr>
    <w:rPr>
      <w:sz w:val="23"/>
    </w:rPr>
  </w:style>
  <w:style w:type="paragraph" w:customStyle="1" w:styleId="BodyTextNoSpacing">
    <w:name w:val="Body Text No Spacing"/>
    <w:basedOn w:val="BodyText"/>
    <w:qFormat/>
    <w:rsid w:val="00280D87"/>
    <w:pPr>
      <w:spacing w:after="0"/>
    </w:pPr>
  </w:style>
  <w:style w:type="paragraph" w:styleId="Date">
    <w:name w:val="Date"/>
    <w:basedOn w:val="Normal"/>
    <w:next w:val="Normal"/>
    <w:link w:val="DateChar"/>
    <w:rsid w:val="003D2A3E"/>
    <w:pPr>
      <w:spacing w:after="230"/>
    </w:pPr>
  </w:style>
  <w:style w:type="character" w:customStyle="1" w:styleId="DateChar">
    <w:name w:val="Date Char"/>
    <w:basedOn w:val="DefaultParagraphFont"/>
    <w:link w:val="Date"/>
    <w:rsid w:val="003D2A3E"/>
    <w:rPr>
      <w:rFonts w:ascii="Arial" w:hAnsi="Arial"/>
      <w:color w:val="333333"/>
      <w:sz w:val="20"/>
      <w:lang w:val="en-GB"/>
    </w:rPr>
  </w:style>
  <w:style w:type="paragraph" w:styleId="TOCHeading">
    <w:name w:val="TOC Heading"/>
    <w:basedOn w:val="Heading1"/>
    <w:next w:val="Normal"/>
    <w:rsid w:val="00624C10"/>
    <w:pPr>
      <w:outlineLvl w:val="9"/>
    </w:pPr>
  </w:style>
  <w:style w:type="character" w:styleId="PlaceholderText">
    <w:name w:val="Placeholder Text"/>
    <w:basedOn w:val="DefaultParagraphFont"/>
    <w:rsid w:val="003D2A3E"/>
    <w:rPr>
      <w:color w:val="FF00FF"/>
      <w:bdr w:val="none" w:sz="0" w:space="0" w:color="auto"/>
      <w:shd w:val="clear" w:color="auto" w:fill="auto"/>
    </w:rPr>
  </w:style>
  <w:style w:type="character" w:styleId="Emphasis">
    <w:name w:val="Emphasis"/>
    <w:basedOn w:val="DefaultParagraphFont"/>
    <w:qFormat/>
    <w:rsid w:val="00FD4DB7"/>
    <w:rPr>
      <w:b/>
      <w:i w:val="0"/>
      <w:iCs/>
      <w:color w:val="080808"/>
    </w:rPr>
  </w:style>
  <w:style w:type="paragraph" w:customStyle="1" w:styleId="FinePrint">
    <w:name w:val="Fine Print"/>
    <w:basedOn w:val="BodyText"/>
    <w:qFormat/>
    <w:rsid w:val="00576342"/>
    <w:pPr>
      <w:spacing w:after="160"/>
      <w:contextualSpacing/>
    </w:pPr>
    <w:rPr>
      <w:sz w:val="14"/>
    </w:rPr>
  </w:style>
  <w:style w:type="paragraph" w:styleId="Index1">
    <w:name w:val="index 1"/>
    <w:basedOn w:val="Normal"/>
    <w:next w:val="Normal"/>
    <w:uiPriority w:val="99"/>
    <w:semiHidden/>
    <w:unhideWhenUsed/>
    <w:rsid w:val="003B3120"/>
    <w:pPr>
      <w:ind w:left="200" w:hanging="200"/>
    </w:pPr>
  </w:style>
  <w:style w:type="numbering" w:customStyle="1" w:styleId="HMIBullets">
    <w:name w:val="HMI Bullets"/>
    <w:basedOn w:val="BulletList"/>
    <w:uiPriority w:val="99"/>
    <w:rsid w:val="00010EEC"/>
    <w:pPr>
      <w:numPr>
        <w:numId w:val="3"/>
      </w:numPr>
    </w:pPr>
  </w:style>
  <w:style w:type="numbering" w:customStyle="1" w:styleId="HMIListNumbers">
    <w:name w:val="HMI List Numbers"/>
    <w:basedOn w:val="NumberList"/>
    <w:uiPriority w:val="99"/>
    <w:rsid w:val="00010EEC"/>
    <w:pPr>
      <w:numPr>
        <w:numId w:val="4"/>
      </w:numPr>
    </w:pPr>
  </w:style>
  <w:style w:type="table" w:customStyle="1" w:styleId="HexagonTableAllBorders">
    <w:name w:val="Hexagon Table All Borders"/>
    <w:basedOn w:val="TableNormal"/>
    <w:uiPriority w:val="99"/>
    <w:rsid w:val="00010EEC"/>
    <w:pPr>
      <w:spacing w:line="240" w:lineRule="auto"/>
    </w:pPr>
    <w:tblPr>
      <w:tblStyleRowBandSize w:val="1"/>
      <w:tblBorders>
        <w:top w:val="single" w:sz="4" w:space="0" w:color="0097BA"/>
        <w:left w:val="single" w:sz="4" w:space="0" w:color="0097BA"/>
        <w:bottom w:val="single" w:sz="4" w:space="0" w:color="0097BA"/>
        <w:right w:val="single" w:sz="4" w:space="0" w:color="0097BA"/>
        <w:insideH w:val="single" w:sz="4" w:space="0" w:color="0097BA"/>
        <w:insideV w:val="single" w:sz="4" w:space="0" w:color="0097BA"/>
      </w:tblBorders>
      <w:tblCellMar>
        <w:top w:w="85" w:type="dxa"/>
        <w:bottom w:w="85" w:type="dxa"/>
      </w:tblCellMar>
    </w:tblPr>
    <w:tblStylePr w:type="firstRow">
      <w:tblPr/>
      <w:tcPr>
        <w:tcBorders>
          <w:top w:val="single" w:sz="4" w:space="0" w:color="0097BA"/>
          <w:left w:val="single" w:sz="4" w:space="0" w:color="0097BA"/>
          <w:bottom w:val="single" w:sz="4" w:space="0" w:color="0097BA"/>
          <w:right w:val="single" w:sz="4" w:space="0" w:color="0097BA"/>
          <w:insideH w:val="single" w:sz="4" w:space="0" w:color="0097BA"/>
          <w:insideV w:val="single" w:sz="4" w:space="0" w:color="0097BA"/>
          <w:tl2br w:val="nil"/>
          <w:tr2bl w:val="nil"/>
        </w:tcBorders>
        <w:shd w:val="clear" w:color="auto" w:fill="0097BA"/>
      </w:tcPr>
    </w:tblStylePr>
    <w:tblStylePr w:type="band1Horz">
      <w:tblPr/>
      <w:tcPr>
        <w:tcBorders>
          <w:top w:val="single" w:sz="4" w:space="0" w:color="0097BA"/>
          <w:left w:val="single" w:sz="4" w:space="0" w:color="0097BA"/>
          <w:bottom w:val="single" w:sz="4" w:space="0" w:color="0097BA"/>
          <w:right w:val="single" w:sz="4" w:space="0" w:color="0097BA"/>
          <w:insideH w:val="single" w:sz="4" w:space="0" w:color="0097BA"/>
          <w:insideV w:val="single" w:sz="4" w:space="0" w:color="0097BA"/>
          <w:tl2br w:val="nil"/>
          <w:tr2bl w:val="nil"/>
        </w:tcBorders>
        <w:shd w:val="clear" w:color="auto" w:fill="85CDDB"/>
      </w:tcPr>
    </w:tblStylePr>
    <w:tblStylePr w:type="band2Horz">
      <w:tblPr/>
      <w:tcPr>
        <w:tcBorders>
          <w:top w:val="single" w:sz="4" w:space="0" w:color="1B98AA"/>
          <w:left w:val="single" w:sz="4" w:space="0" w:color="1B98AA"/>
          <w:bottom w:val="single" w:sz="4" w:space="0" w:color="1B98AA"/>
          <w:right w:val="single" w:sz="4" w:space="0" w:color="1B98AA"/>
          <w:insideH w:val="single" w:sz="4" w:space="0" w:color="1B98AA"/>
          <w:insideV w:val="single" w:sz="4" w:space="0" w:color="1B98AA"/>
          <w:tl2br w:val="nil"/>
          <w:tr2bl w:val="nil"/>
        </w:tcBorders>
      </w:tcPr>
    </w:tblStylePr>
  </w:style>
  <w:style w:type="table" w:customStyle="1" w:styleId="HexagonTableInsideBordersOnly">
    <w:name w:val="Hexagon Table Inside Borders Only"/>
    <w:basedOn w:val="TableNormal"/>
    <w:uiPriority w:val="99"/>
    <w:rsid w:val="00010EEC"/>
    <w:pPr>
      <w:spacing w:line="240" w:lineRule="auto"/>
    </w:pPr>
    <w:tblPr>
      <w:tblBorders>
        <w:insideH w:val="single" w:sz="4" w:space="0" w:color="0097BA"/>
        <w:insideV w:val="single" w:sz="4" w:space="0" w:color="0097BA"/>
      </w:tblBorders>
      <w:tblCellMar>
        <w:top w:w="85" w:type="dxa"/>
        <w:bottom w:w="85" w:type="dxa"/>
      </w:tblCellMar>
    </w:tblPr>
  </w:style>
  <w:style w:type="character" w:styleId="Hyperlink">
    <w:name w:val="Hyperlink"/>
    <w:basedOn w:val="DefaultParagraphFont"/>
    <w:uiPriority w:val="99"/>
    <w:rsid w:val="00EC0FD1"/>
    <w:rPr>
      <w:color w:val="0097BA"/>
      <w:u w:val="none"/>
    </w:rPr>
  </w:style>
  <w:style w:type="paragraph" w:styleId="ListBullet4">
    <w:name w:val="List Bullet 4"/>
    <w:qFormat/>
    <w:rsid w:val="008500E4"/>
    <w:pPr>
      <w:numPr>
        <w:numId w:val="14"/>
      </w:numPr>
      <w:spacing w:after="210" w:line="240" w:lineRule="auto"/>
      <w:ind w:left="1814" w:hanging="357"/>
      <w:contextualSpacing/>
    </w:pPr>
    <w:rPr>
      <w:rFonts w:ascii="Arial" w:hAnsi="Arial"/>
      <w:color w:val="080808"/>
      <w:sz w:val="18"/>
      <w:szCs w:val="18"/>
      <w:lang w:val="en-GB"/>
    </w:rPr>
  </w:style>
  <w:style w:type="paragraph" w:styleId="ListBullet5">
    <w:name w:val="List Bullet 5"/>
    <w:qFormat/>
    <w:rsid w:val="008500E4"/>
    <w:pPr>
      <w:numPr>
        <w:numId w:val="15"/>
      </w:numPr>
      <w:spacing w:after="210" w:line="240" w:lineRule="auto"/>
      <w:ind w:left="2211" w:hanging="357"/>
      <w:contextualSpacing/>
    </w:pPr>
    <w:rPr>
      <w:rFonts w:ascii="Arial" w:hAnsi="Arial"/>
      <w:color w:val="080808"/>
      <w:sz w:val="18"/>
      <w:szCs w:val="18"/>
      <w:lang w:val="en-GB"/>
    </w:rPr>
  </w:style>
  <w:style w:type="paragraph" w:customStyle="1" w:styleId="Markup">
    <w:name w:val="Markup"/>
    <w:basedOn w:val="Normal"/>
    <w:link w:val="MarkupChar"/>
    <w:qFormat/>
    <w:rsid w:val="00280D87"/>
    <w:rPr>
      <w:color w:val="FF00FF"/>
    </w:rPr>
  </w:style>
  <w:style w:type="character" w:customStyle="1" w:styleId="MarkupChar">
    <w:name w:val="Markup Char"/>
    <w:basedOn w:val="DefaultParagraphFont"/>
    <w:link w:val="Markup"/>
    <w:rsid w:val="00280D87"/>
    <w:rPr>
      <w:rFonts w:ascii="Arial" w:hAnsi="Arial"/>
      <w:color w:val="FF00FF"/>
      <w:sz w:val="20"/>
      <w:lang w:val="en-GB"/>
    </w:rPr>
  </w:style>
  <w:style w:type="paragraph" w:styleId="IndexHeading">
    <w:name w:val="index heading"/>
    <w:basedOn w:val="Normal"/>
    <w:next w:val="Index1"/>
    <w:uiPriority w:val="99"/>
    <w:rsid w:val="00483728"/>
    <w:rPr>
      <w:rFonts w:eastAsiaTheme="majorEastAsia" w:cstheme="majorBidi"/>
      <w:bCs/>
      <w:caps/>
      <w:color w:val="545559"/>
      <w:sz w:val="36"/>
    </w:rPr>
  </w:style>
  <w:style w:type="paragraph" w:customStyle="1" w:styleId="TableText">
    <w:name w:val="Table Text"/>
    <w:basedOn w:val="Normal"/>
    <w:qFormat/>
    <w:rsid w:val="002D6E9B"/>
    <w:rPr>
      <w:color w:val="080808"/>
      <w:sz w:val="16"/>
    </w:rPr>
  </w:style>
  <w:style w:type="paragraph" w:customStyle="1" w:styleId="TableTitle">
    <w:name w:val="Table Title"/>
    <w:next w:val="TableText"/>
    <w:qFormat/>
    <w:rsid w:val="00A2584F"/>
    <w:pPr>
      <w:spacing w:line="240" w:lineRule="auto"/>
    </w:pPr>
    <w:rPr>
      <w:rFonts w:ascii="Arial" w:hAnsi="Arial"/>
      <w:b/>
      <w:color w:val="333333"/>
      <w:sz w:val="16"/>
      <w:lang w:val="en-GB"/>
    </w:rPr>
  </w:style>
  <w:style w:type="paragraph" w:customStyle="1" w:styleId="TableTitleWhite">
    <w:name w:val="Table Title White"/>
    <w:basedOn w:val="TableTitle"/>
    <w:next w:val="TableText"/>
    <w:qFormat/>
    <w:rsid w:val="001F6A30"/>
    <w:rPr>
      <w:color w:val="FFFFFF" w:themeColor="text1"/>
    </w:rPr>
  </w:style>
  <w:style w:type="paragraph" w:customStyle="1" w:styleId="Category">
    <w:name w:val="Category"/>
    <w:basedOn w:val="Normal"/>
    <w:qFormat/>
    <w:rsid w:val="00576342"/>
    <w:rPr>
      <w:color w:val="080808"/>
      <w:sz w:val="21"/>
    </w:rPr>
  </w:style>
  <w:style w:type="character" w:styleId="CommentReference">
    <w:name w:val="annotation reference"/>
    <w:basedOn w:val="DefaultParagraphFont"/>
    <w:uiPriority w:val="99"/>
    <w:semiHidden/>
    <w:unhideWhenUsed/>
    <w:rsid w:val="003E5482"/>
    <w:rPr>
      <w:sz w:val="16"/>
      <w:szCs w:val="16"/>
    </w:rPr>
  </w:style>
  <w:style w:type="paragraph" w:styleId="CommentText">
    <w:name w:val="annotation text"/>
    <w:basedOn w:val="Normal"/>
    <w:link w:val="CommentTextChar"/>
    <w:uiPriority w:val="99"/>
    <w:unhideWhenUsed/>
    <w:rsid w:val="003E5482"/>
    <w:rPr>
      <w:szCs w:val="20"/>
    </w:rPr>
  </w:style>
  <w:style w:type="character" w:customStyle="1" w:styleId="CommentTextChar">
    <w:name w:val="Comment Text Char"/>
    <w:basedOn w:val="DefaultParagraphFont"/>
    <w:link w:val="CommentText"/>
    <w:uiPriority w:val="99"/>
    <w:rsid w:val="003E5482"/>
    <w:rPr>
      <w:rFonts w:ascii="Arial" w:hAnsi="Arial"/>
      <w:color w:val="333333"/>
      <w:sz w:val="20"/>
      <w:szCs w:val="20"/>
      <w:lang w:val="en-GB"/>
    </w:rPr>
  </w:style>
  <w:style w:type="paragraph" w:styleId="CommentSubject">
    <w:name w:val="annotation subject"/>
    <w:basedOn w:val="CommentText"/>
    <w:next w:val="CommentText"/>
    <w:link w:val="CommentSubjectChar"/>
    <w:uiPriority w:val="99"/>
    <w:semiHidden/>
    <w:unhideWhenUsed/>
    <w:rsid w:val="003E5482"/>
    <w:rPr>
      <w:b/>
      <w:bCs/>
    </w:rPr>
  </w:style>
  <w:style w:type="character" w:customStyle="1" w:styleId="CommentSubjectChar">
    <w:name w:val="Comment Subject Char"/>
    <w:basedOn w:val="CommentTextChar"/>
    <w:link w:val="CommentSubject"/>
    <w:uiPriority w:val="99"/>
    <w:semiHidden/>
    <w:rsid w:val="003E5482"/>
    <w:rPr>
      <w:rFonts w:ascii="Arial" w:hAnsi="Arial"/>
      <w:b/>
      <w:bCs/>
      <w:color w:val="333333"/>
      <w:sz w:val="20"/>
      <w:szCs w:val="20"/>
      <w:lang w:val="en-GB"/>
    </w:rPr>
  </w:style>
  <w:style w:type="paragraph" w:styleId="BalloonText">
    <w:name w:val="Balloon Text"/>
    <w:basedOn w:val="Normal"/>
    <w:link w:val="BalloonTextChar"/>
    <w:uiPriority w:val="99"/>
    <w:semiHidden/>
    <w:unhideWhenUsed/>
    <w:rsid w:val="003E5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82"/>
    <w:rPr>
      <w:rFonts w:ascii="Segoe UI" w:hAnsi="Segoe UI" w:cs="Segoe UI"/>
      <w:color w:val="333333"/>
      <w:sz w:val="18"/>
      <w:szCs w:val="18"/>
      <w:lang w:val="en-GB"/>
    </w:rPr>
  </w:style>
  <w:style w:type="paragraph" w:customStyle="1" w:styleId="Title-LetterheadMemo">
    <w:name w:val="Title - Letterhead &amp; Memo"/>
    <w:qFormat/>
    <w:rsid w:val="004147F8"/>
    <w:rPr>
      <w:rFonts w:ascii="Arial" w:eastAsiaTheme="majorEastAsia" w:hAnsi="Arial" w:cstheme="majorBidi"/>
      <w:b/>
      <w:color w:val="080808"/>
      <w:spacing w:val="-10"/>
      <w:kern w:val="28"/>
      <w:sz w:val="42"/>
      <w:szCs w:val="36"/>
      <w:lang w:val="en-GB"/>
    </w:rPr>
  </w:style>
  <w:style w:type="paragraph" w:customStyle="1" w:styleId="Contact">
    <w:name w:val="Contact"/>
    <w:qFormat/>
    <w:rsid w:val="00280D87"/>
    <w:pPr>
      <w:spacing w:line="240" w:lineRule="auto"/>
    </w:pPr>
    <w:rPr>
      <w:rFonts w:ascii="Arial" w:hAnsi="Arial"/>
      <w:color w:val="080808"/>
      <w:sz w:val="20"/>
      <w:szCs w:val="20"/>
      <w:lang w:val="en-GB"/>
    </w:rPr>
  </w:style>
  <w:style w:type="paragraph" w:customStyle="1" w:styleId="ContactHeading">
    <w:name w:val="Contact Heading"/>
    <w:basedOn w:val="Contact"/>
    <w:qFormat/>
    <w:rsid w:val="00280D87"/>
    <w:rPr>
      <w:b/>
      <w:sz w:val="22"/>
    </w:rPr>
  </w:style>
  <w:style w:type="paragraph" w:customStyle="1" w:styleId="MediaReleaseHeading1">
    <w:name w:val="Media Release Heading 1"/>
    <w:qFormat/>
    <w:rsid w:val="00280D87"/>
    <w:pPr>
      <w:spacing w:before="400" w:after="140" w:line="240" w:lineRule="auto"/>
      <w:contextualSpacing/>
      <w:outlineLvl w:val="0"/>
    </w:pPr>
    <w:rPr>
      <w:rFonts w:ascii="Arial" w:hAnsi="Arial"/>
      <w:b/>
      <w:color w:val="080808"/>
      <w:sz w:val="28"/>
      <w:szCs w:val="22"/>
      <w:lang w:val="en-GB"/>
    </w:rPr>
  </w:style>
  <w:style w:type="paragraph" w:customStyle="1" w:styleId="MediaReleaseHeading2">
    <w:name w:val="Media Release Heading 2"/>
    <w:qFormat/>
    <w:rsid w:val="00280D87"/>
    <w:pPr>
      <w:spacing w:before="300" w:after="80" w:line="240" w:lineRule="auto"/>
      <w:contextualSpacing/>
    </w:pPr>
    <w:rPr>
      <w:rFonts w:ascii="Arial" w:hAnsi="Arial"/>
      <w:color w:val="080808"/>
      <w:sz w:val="22"/>
      <w:szCs w:val="18"/>
      <w:lang w:val="en-GB"/>
    </w:rPr>
  </w:style>
  <w:style w:type="paragraph" w:customStyle="1" w:styleId="MediaReleaseListNumber1">
    <w:name w:val="Media Release List Number 1"/>
    <w:qFormat/>
    <w:rsid w:val="00965318"/>
    <w:pPr>
      <w:numPr>
        <w:numId w:val="16"/>
      </w:numPr>
      <w:spacing w:after="230" w:line="240" w:lineRule="auto"/>
      <w:ind w:left="737" w:hanging="357"/>
      <w:contextualSpacing/>
    </w:pPr>
    <w:rPr>
      <w:rFonts w:ascii="Arial" w:hAnsi="Arial"/>
      <w:color w:val="080808"/>
      <w:sz w:val="18"/>
      <w:szCs w:val="18"/>
      <w:lang w:val="en-GB"/>
    </w:rPr>
  </w:style>
  <w:style w:type="paragraph" w:customStyle="1" w:styleId="MediaReleaseListNumber2">
    <w:name w:val="Media Release List Number 2"/>
    <w:qFormat/>
    <w:rsid w:val="00965318"/>
    <w:pPr>
      <w:numPr>
        <w:numId w:val="17"/>
      </w:numPr>
      <w:spacing w:after="230" w:line="240" w:lineRule="auto"/>
      <w:ind w:left="1134" w:hanging="357"/>
      <w:contextualSpacing/>
    </w:pPr>
    <w:rPr>
      <w:rFonts w:ascii="Arial" w:hAnsi="Arial"/>
      <w:color w:val="080808"/>
      <w:sz w:val="18"/>
      <w:szCs w:val="18"/>
      <w:lang w:val="en-GB"/>
    </w:rPr>
  </w:style>
  <w:style w:type="paragraph" w:customStyle="1" w:styleId="MediaReleaseListNumber3">
    <w:name w:val="Media Release List Number 3"/>
    <w:qFormat/>
    <w:rsid w:val="009B11F4"/>
    <w:pPr>
      <w:numPr>
        <w:numId w:val="18"/>
      </w:numPr>
      <w:spacing w:after="230" w:line="240" w:lineRule="auto"/>
      <w:ind w:left="1474" w:hanging="357"/>
      <w:contextualSpacing/>
    </w:pPr>
    <w:rPr>
      <w:rFonts w:ascii="Arial" w:hAnsi="Arial"/>
      <w:color w:val="080808"/>
      <w:sz w:val="18"/>
      <w:szCs w:val="18"/>
      <w:lang w:val="en-GB"/>
    </w:rPr>
  </w:style>
  <w:style w:type="paragraph" w:customStyle="1" w:styleId="MediaReleaseSubtitle">
    <w:name w:val="Media Release Subtitle"/>
    <w:qFormat/>
    <w:rsid w:val="00280D87"/>
    <w:pPr>
      <w:spacing w:line="240" w:lineRule="auto"/>
    </w:pPr>
    <w:rPr>
      <w:rFonts w:ascii="Arial" w:eastAsiaTheme="minorEastAsia" w:hAnsi="Arial"/>
      <w:color w:val="080808"/>
      <w:sz w:val="20"/>
      <w:szCs w:val="20"/>
      <w:lang w:val="en-GB"/>
    </w:rPr>
  </w:style>
  <w:style w:type="paragraph" w:customStyle="1" w:styleId="MediaReleaseTitle">
    <w:name w:val="Media Release Title"/>
    <w:qFormat/>
    <w:rsid w:val="00280D87"/>
    <w:pPr>
      <w:spacing w:line="240" w:lineRule="auto"/>
    </w:pPr>
    <w:rPr>
      <w:rFonts w:ascii="Arial" w:eastAsiaTheme="majorEastAsia" w:hAnsi="Arial" w:cstheme="majorBidi"/>
      <w:b/>
      <w:color w:val="080808"/>
      <w:spacing w:val="-10"/>
      <w:kern w:val="28"/>
      <w:sz w:val="36"/>
      <w:szCs w:val="36"/>
      <w:lang w:val="en-GB"/>
    </w:rPr>
  </w:style>
  <w:style w:type="paragraph" w:customStyle="1" w:styleId="Title-Book">
    <w:name w:val="Title - Book"/>
    <w:qFormat/>
    <w:rsid w:val="005A0708"/>
    <w:rPr>
      <w:rFonts w:ascii="Arial" w:eastAsiaTheme="majorEastAsia" w:hAnsi="Arial" w:cstheme="majorBidi"/>
      <w:b/>
      <w:color w:val="080808"/>
      <w:spacing w:val="-10"/>
      <w:kern w:val="28"/>
      <w:sz w:val="45"/>
      <w:szCs w:val="56"/>
      <w:lang w:val="en-GB"/>
    </w:rPr>
  </w:style>
  <w:style w:type="paragraph" w:customStyle="1" w:styleId="Heading3noTOC">
    <w:name w:val="Heading 3 no TOC"/>
    <w:qFormat/>
    <w:rsid w:val="00D02AE9"/>
    <w:rPr>
      <w:rFonts w:ascii="Arial" w:hAnsi="Arial"/>
      <w:color w:val="080808"/>
      <w:sz w:val="23"/>
      <w:szCs w:val="18"/>
      <w:lang w:val="en-GB"/>
    </w:rPr>
  </w:style>
  <w:style w:type="paragraph" w:customStyle="1" w:styleId="Heading4noTOC">
    <w:name w:val="Heading 4 no TOC"/>
    <w:basedOn w:val="BodyText"/>
    <w:qFormat/>
    <w:rsid w:val="005C78B8"/>
    <w:pPr>
      <w:contextualSpacing/>
    </w:pPr>
  </w:style>
  <w:style w:type="paragraph" w:customStyle="1" w:styleId="HEXFooter">
    <w:name w:val="HEX Footer"/>
    <w:basedOn w:val="Normal"/>
    <w:qFormat/>
    <w:rsid w:val="00ED2EDA"/>
    <w:rPr>
      <w:rFonts w:eastAsiaTheme="minorEastAsia"/>
      <w:noProof/>
      <w:color w:val="auto"/>
      <w:sz w:val="14"/>
      <w:szCs w:val="14"/>
      <w:lang w:val="en-US"/>
    </w:rPr>
  </w:style>
  <w:style w:type="paragraph" w:customStyle="1" w:styleId="HEXBody">
    <w:name w:val="HEX Body"/>
    <w:basedOn w:val="Normal"/>
    <w:next w:val="Normal"/>
    <w:qFormat/>
    <w:rsid w:val="00ED2EDA"/>
    <w:pPr>
      <w:widowControl w:val="0"/>
      <w:suppressAutoHyphens/>
      <w:autoSpaceDE w:val="0"/>
      <w:autoSpaceDN w:val="0"/>
      <w:adjustRightInd w:val="0"/>
      <w:spacing w:line="288" w:lineRule="auto"/>
      <w:textAlignment w:val="center"/>
    </w:pPr>
    <w:rPr>
      <w:rFonts w:eastAsiaTheme="minorEastAsia" w:cs="Arial"/>
      <w:color w:val="000000"/>
      <w:sz w:val="18"/>
      <w:szCs w:val="18"/>
      <w:lang w:val="en-US"/>
    </w:rPr>
  </w:style>
  <w:style w:type="paragraph" w:customStyle="1" w:styleId="Section1">
    <w:name w:val="Section 1"/>
    <w:basedOn w:val="Normal"/>
    <w:autoRedefine/>
    <w:rsid w:val="00ED2EDA"/>
    <w:pPr>
      <w:numPr>
        <w:ilvl w:val="1"/>
        <w:numId w:val="23"/>
      </w:numPr>
      <w:tabs>
        <w:tab w:val="clear" w:pos="851"/>
        <w:tab w:val="left" w:pos="680"/>
      </w:tabs>
      <w:suppressAutoHyphens/>
      <w:spacing w:before="60" w:after="60"/>
      <w:ind w:left="0" w:firstLine="0"/>
      <w:jc w:val="both"/>
      <w:outlineLvl w:val="1"/>
    </w:pPr>
    <w:rPr>
      <w:rFonts w:ascii="CG Times (W1)" w:eastAsia="Times New Roman" w:hAnsi="CG Times (W1)" w:cs="Times New Roman"/>
      <w:bCs/>
      <w:color w:val="auto"/>
      <w:spacing w:val="-2"/>
      <w:sz w:val="22"/>
      <w:szCs w:val="26"/>
      <w:lang w:val="en-US"/>
    </w:rPr>
  </w:style>
  <w:style w:type="paragraph" w:customStyle="1" w:styleId="Sectionheading">
    <w:name w:val="Section heading"/>
    <w:basedOn w:val="Normal"/>
    <w:next w:val="Section1"/>
    <w:autoRedefine/>
    <w:rsid w:val="00ED2EDA"/>
    <w:pPr>
      <w:keepNext/>
      <w:numPr>
        <w:numId w:val="23"/>
      </w:numPr>
      <w:tabs>
        <w:tab w:val="left" w:pos="680"/>
      </w:tabs>
      <w:suppressAutoHyphens/>
      <w:spacing w:before="360" w:after="120"/>
      <w:jc w:val="both"/>
    </w:pPr>
    <w:rPr>
      <w:rFonts w:ascii="Arial (W1)" w:eastAsia="Times New Roman" w:hAnsi="Arial (W1)" w:cs="Times New Roman"/>
      <w:b/>
      <w:smallCaps/>
      <w:color w:val="auto"/>
      <w:spacing w:val="-2"/>
      <w:sz w:val="22"/>
      <w:szCs w:val="20"/>
      <w:lang w:val="en-US"/>
    </w:rPr>
  </w:style>
  <w:style w:type="paragraph" w:customStyle="1" w:styleId="Section2">
    <w:name w:val="Section 2"/>
    <w:basedOn w:val="Normal"/>
    <w:autoRedefine/>
    <w:rsid w:val="00ED2EDA"/>
    <w:pPr>
      <w:numPr>
        <w:ilvl w:val="2"/>
        <w:numId w:val="23"/>
      </w:numPr>
      <w:suppressAutoHyphens/>
      <w:spacing w:before="60" w:after="60"/>
      <w:ind w:left="0" w:firstLine="0"/>
      <w:jc w:val="both"/>
      <w:outlineLvl w:val="1"/>
    </w:pPr>
    <w:rPr>
      <w:rFonts w:ascii="CG Times (W1)" w:eastAsia="Times New Roman" w:hAnsi="CG Times (W1)" w:cs="Times New Roman"/>
      <w:color w:val="auto"/>
      <w:spacing w:val="-2"/>
      <w:sz w:val="22"/>
      <w:szCs w:val="26"/>
    </w:rPr>
  </w:style>
  <w:style w:type="paragraph" w:customStyle="1" w:styleId="Section3">
    <w:name w:val="Section 3"/>
    <w:basedOn w:val="Normal"/>
    <w:rsid w:val="00ED2EDA"/>
    <w:pPr>
      <w:numPr>
        <w:ilvl w:val="3"/>
        <w:numId w:val="23"/>
      </w:numPr>
    </w:pPr>
    <w:rPr>
      <w:rFonts w:ascii="Arial (W1)" w:eastAsia="Times New Roman" w:hAnsi="Arial (W1)" w:cs="Times New Roman"/>
      <w:color w:val="auto"/>
      <w:sz w:val="22"/>
    </w:rPr>
  </w:style>
  <w:style w:type="character" w:customStyle="1" w:styleId="MenoPendente1">
    <w:name w:val="Menção Pendente1"/>
    <w:basedOn w:val="DefaultParagraphFont"/>
    <w:uiPriority w:val="99"/>
    <w:semiHidden/>
    <w:unhideWhenUsed/>
    <w:rsid w:val="00ED2EDA"/>
    <w:rPr>
      <w:color w:val="605E5C"/>
      <w:shd w:val="clear" w:color="auto" w:fill="E1DFDD"/>
    </w:rPr>
  </w:style>
  <w:style w:type="character" w:styleId="FollowedHyperlink">
    <w:name w:val="FollowedHyperlink"/>
    <w:basedOn w:val="DefaultParagraphFont"/>
    <w:uiPriority w:val="99"/>
    <w:semiHidden/>
    <w:unhideWhenUsed/>
    <w:rsid w:val="00ED2EDA"/>
    <w:rPr>
      <w:color w:val="7030A0" w:themeColor="followedHyperlink"/>
      <w:u w:val="single"/>
    </w:rPr>
  </w:style>
  <w:style w:type="paragraph" w:styleId="Revision">
    <w:name w:val="Revision"/>
    <w:hidden/>
    <w:uiPriority w:val="99"/>
    <w:semiHidden/>
    <w:rsid w:val="00ED2EDA"/>
    <w:pPr>
      <w:spacing w:line="240" w:lineRule="auto"/>
    </w:pPr>
    <w:rPr>
      <w:rFonts w:asciiTheme="minorHAnsi" w:hAnsiTheme="minorHAnsi"/>
      <w:sz w:val="22"/>
      <w:szCs w:val="22"/>
      <w:lang w:val="en-GB"/>
    </w:rPr>
  </w:style>
  <w:style w:type="paragraph" w:styleId="ListParagraph">
    <w:name w:val="List Paragraph"/>
    <w:basedOn w:val="Normal"/>
    <w:uiPriority w:val="34"/>
    <w:qFormat/>
    <w:rsid w:val="00ED2EDA"/>
    <w:pPr>
      <w:ind w:left="720"/>
      <w:contextualSpacing/>
    </w:pPr>
    <w:rPr>
      <w:rFonts w:asciiTheme="minorHAnsi" w:hAnsiTheme="minorHAnsi"/>
      <w:color w:val="auto"/>
      <w:sz w:val="24"/>
      <w:lang w:val="en-US"/>
    </w:rPr>
  </w:style>
  <w:style w:type="paragraph" w:styleId="NoSpacing">
    <w:name w:val="No Spacing"/>
    <w:uiPriority w:val="1"/>
    <w:qFormat/>
    <w:rsid w:val="00ED2EDA"/>
    <w:pPr>
      <w:autoSpaceDE w:val="0"/>
      <w:autoSpaceDN w:val="0"/>
      <w:adjustRightInd w:val="0"/>
      <w:spacing w:line="240" w:lineRule="auto"/>
      <w:jc w:val="both"/>
    </w:pPr>
    <w:rPr>
      <w:rFonts w:ascii="Calibri" w:eastAsiaTheme="minorEastAsia" w:hAnsi="Calibri" w:cs="Calibri"/>
      <w:sz w:val="22"/>
      <w:szCs w:val="22"/>
      <w:lang w:val="en-US"/>
    </w:rPr>
  </w:style>
  <w:style w:type="paragraph" w:customStyle="1" w:styleId="TCLevel2">
    <w:name w:val="TC Level 2"/>
    <w:basedOn w:val="ListParagraph"/>
    <w:qFormat/>
    <w:rsid w:val="00ED2EDA"/>
    <w:pPr>
      <w:numPr>
        <w:ilvl w:val="3"/>
        <w:numId w:val="26"/>
      </w:numPr>
      <w:spacing w:before="120"/>
      <w:contextualSpacing w:val="0"/>
      <w:jc w:val="both"/>
    </w:pPr>
    <w:rPr>
      <w:rFonts w:ascii="Arial" w:hAnsi="Arial"/>
      <w:sz w:val="17"/>
      <w:szCs w:val="17"/>
      <w:lang w:val="en-AU"/>
    </w:rPr>
  </w:style>
  <w:style w:type="paragraph" w:customStyle="1" w:styleId="TCLevel1">
    <w:name w:val="TC Level 1"/>
    <w:basedOn w:val="ListParagraph"/>
    <w:link w:val="TCLevel1Char"/>
    <w:qFormat/>
    <w:rsid w:val="00ED2EDA"/>
    <w:pPr>
      <w:numPr>
        <w:ilvl w:val="2"/>
        <w:numId w:val="26"/>
      </w:numPr>
      <w:spacing w:before="120"/>
      <w:contextualSpacing w:val="0"/>
      <w:jc w:val="both"/>
    </w:pPr>
    <w:rPr>
      <w:rFonts w:ascii="Arial" w:hAnsi="Arial"/>
      <w:sz w:val="17"/>
      <w:szCs w:val="17"/>
      <w:lang w:val="en-AU"/>
    </w:rPr>
  </w:style>
  <w:style w:type="character" w:customStyle="1" w:styleId="TCLevel1Char">
    <w:name w:val="TC Level 1 Char"/>
    <w:basedOn w:val="DefaultParagraphFont"/>
    <w:link w:val="TCLevel1"/>
    <w:rsid w:val="00ED2EDA"/>
    <w:rPr>
      <w:rFonts w:ascii="Arial" w:hAnsi="Arial"/>
      <w:sz w:val="17"/>
      <w:szCs w:val="17"/>
      <w:lang w:val="en-AU"/>
    </w:rPr>
  </w:style>
  <w:style w:type="paragraph" w:customStyle="1" w:styleId="TCH3">
    <w:name w:val="TC H3"/>
    <w:basedOn w:val="ListParagraph"/>
    <w:link w:val="TCH3Char"/>
    <w:qFormat/>
    <w:rsid w:val="00ED2EDA"/>
    <w:pPr>
      <w:numPr>
        <w:ilvl w:val="1"/>
        <w:numId w:val="26"/>
      </w:numPr>
      <w:spacing w:before="120"/>
      <w:contextualSpacing w:val="0"/>
      <w:jc w:val="both"/>
    </w:pPr>
    <w:rPr>
      <w:rFonts w:ascii="Arial" w:hAnsi="Arial"/>
      <w:b/>
      <w:sz w:val="17"/>
      <w:szCs w:val="17"/>
      <w:lang w:val="en-AU"/>
    </w:rPr>
  </w:style>
  <w:style w:type="character" w:customStyle="1" w:styleId="TCH3Char">
    <w:name w:val="TC H3 Char"/>
    <w:basedOn w:val="DefaultParagraphFont"/>
    <w:link w:val="TCH3"/>
    <w:rsid w:val="00ED2EDA"/>
    <w:rPr>
      <w:rFonts w:ascii="Arial" w:hAnsi="Arial"/>
      <w:b/>
      <w:sz w:val="17"/>
      <w:szCs w:val="17"/>
      <w:lang w:val="en-AU"/>
    </w:rPr>
  </w:style>
  <w:style w:type="paragraph" w:customStyle="1" w:styleId="TCH2">
    <w:name w:val="TC H2"/>
    <w:basedOn w:val="ListParagraph"/>
    <w:qFormat/>
    <w:rsid w:val="00ED2EDA"/>
    <w:pPr>
      <w:numPr>
        <w:numId w:val="26"/>
      </w:numPr>
      <w:pBdr>
        <w:bottom w:val="single" w:sz="4" w:space="1" w:color="auto"/>
      </w:pBdr>
      <w:spacing w:before="120"/>
      <w:jc w:val="both"/>
    </w:pPr>
    <w:rPr>
      <w:rFonts w:ascii="Arial" w:hAnsi="Arial"/>
      <w:b/>
      <w:smallCaps/>
      <w:sz w:val="20"/>
      <w:szCs w:val="22"/>
      <w:lang w:val="en-AU"/>
    </w:rPr>
  </w:style>
  <w:style w:type="paragraph" w:customStyle="1" w:styleId="DownerListNumber2">
    <w:name w:val="Downer List Number 2"/>
    <w:basedOn w:val="ListNumber2"/>
    <w:qFormat/>
    <w:rsid w:val="00ED2EDA"/>
    <w:pPr>
      <w:keepNext/>
      <w:numPr>
        <w:ilvl w:val="1"/>
        <w:numId w:val="28"/>
      </w:numPr>
      <w:tabs>
        <w:tab w:val="num" w:pos="360"/>
      </w:tabs>
      <w:spacing w:before="60" w:after="60"/>
      <w:contextualSpacing w:val="0"/>
      <w:jc w:val="both"/>
    </w:pPr>
    <w:rPr>
      <w:rFonts w:eastAsia="Times New Roman" w:cs="Times New Roman"/>
      <w:b/>
      <w:color w:val="auto"/>
      <w:sz w:val="16"/>
      <w:szCs w:val="24"/>
      <w:lang w:val="en-AU"/>
    </w:rPr>
  </w:style>
  <w:style w:type="paragraph" w:customStyle="1" w:styleId="DownerListNumber4">
    <w:name w:val="Downer List Number 4"/>
    <w:basedOn w:val="ListNumber4"/>
    <w:qFormat/>
    <w:rsid w:val="00ED2EDA"/>
    <w:pPr>
      <w:numPr>
        <w:ilvl w:val="3"/>
        <w:numId w:val="28"/>
      </w:numPr>
      <w:tabs>
        <w:tab w:val="num" w:pos="360"/>
      </w:tabs>
      <w:spacing w:before="60" w:after="60"/>
      <w:contextualSpacing w:val="0"/>
      <w:jc w:val="both"/>
    </w:pPr>
    <w:rPr>
      <w:rFonts w:ascii="Arial" w:eastAsia="Times New Roman" w:hAnsi="Arial" w:cs="Times New Roman"/>
      <w:sz w:val="16"/>
      <w:szCs w:val="24"/>
      <w:lang w:val="en-AU"/>
    </w:rPr>
  </w:style>
  <w:style w:type="paragraph" w:customStyle="1" w:styleId="DownerListNumber1">
    <w:name w:val="Downer List Number 1"/>
    <w:basedOn w:val="ListNumber"/>
    <w:qFormat/>
    <w:rsid w:val="00ED2EDA"/>
    <w:pPr>
      <w:keepNext/>
      <w:numPr>
        <w:numId w:val="0"/>
      </w:numPr>
      <w:spacing w:before="120" w:after="120"/>
      <w:ind w:left="567" w:hanging="567"/>
      <w:contextualSpacing w:val="0"/>
      <w:jc w:val="both"/>
    </w:pPr>
    <w:rPr>
      <w:rFonts w:eastAsia="Times New Roman" w:cs="Times New Roman"/>
      <w:b/>
      <w:caps/>
      <w:color w:val="auto"/>
      <w:sz w:val="16"/>
      <w:szCs w:val="24"/>
      <w:lang w:val="en-AU"/>
    </w:rPr>
  </w:style>
  <w:style w:type="paragraph" w:customStyle="1" w:styleId="DownerListNumber5">
    <w:name w:val="Downer List Number 5"/>
    <w:basedOn w:val="ListNumber5"/>
    <w:qFormat/>
    <w:rsid w:val="00ED2EDA"/>
    <w:pPr>
      <w:numPr>
        <w:ilvl w:val="4"/>
        <w:numId w:val="28"/>
      </w:numPr>
      <w:tabs>
        <w:tab w:val="num" w:pos="360"/>
      </w:tabs>
      <w:spacing w:before="60" w:after="60"/>
      <w:contextualSpacing w:val="0"/>
      <w:jc w:val="both"/>
    </w:pPr>
    <w:rPr>
      <w:rFonts w:ascii="Arial" w:eastAsia="Times New Roman" w:hAnsi="Arial" w:cs="Times New Roman"/>
      <w:sz w:val="16"/>
      <w:szCs w:val="24"/>
      <w:lang w:val="en-AU"/>
    </w:rPr>
  </w:style>
  <w:style w:type="numbering" w:customStyle="1" w:styleId="DownerNumberedList">
    <w:name w:val="Downer Numbered List"/>
    <w:uiPriority w:val="99"/>
    <w:rsid w:val="00ED2EDA"/>
    <w:pPr>
      <w:numPr>
        <w:numId w:val="27"/>
      </w:numPr>
    </w:pPr>
  </w:style>
  <w:style w:type="paragraph" w:customStyle="1" w:styleId="DownerListNumber6">
    <w:name w:val="Downer List Number 6"/>
    <w:basedOn w:val="DownerListNumber5"/>
    <w:qFormat/>
    <w:rsid w:val="00ED2EDA"/>
    <w:pPr>
      <w:numPr>
        <w:ilvl w:val="5"/>
      </w:numPr>
      <w:tabs>
        <w:tab w:val="num" w:pos="360"/>
      </w:tabs>
    </w:pPr>
  </w:style>
  <w:style w:type="paragraph" w:styleId="ListNumber4">
    <w:name w:val="List Number 4"/>
    <w:basedOn w:val="Normal"/>
    <w:uiPriority w:val="99"/>
    <w:semiHidden/>
    <w:unhideWhenUsed/>
    <w:rsid w:val="00ED2EDA"/>
    <w:pPr>
      <w:ind w:left="567" w:hanging="567"/>
      <w:contextualSpacing/>
    </w:pPr>
    <w:rPr>
      <w:rFonts w:asciiTheme="minorHAnsi" w:hAnsiTheme="minorHAnsi"/>
      <w:color w:val="auto"/>
      <w:sz w:val="22"/>
      <w:szCs w:val="22"/>
    </w:rPr>
  </w:style>
  <w:style w:type="paragraph" w:styleId="ListNumber5">
    <w:name w:val="List Number 5"/>
    <w:basedOn w:val="Normal"/>
    <w:uiPriority w:val="99"/>
    <w:semiHidden/>
    <w:unhideWhenUsed/>
    <w:rsid w:val="00ED2EDA"/>
    <w:pPr>
      <w:numPr>
        <w:numId w:val="30"/>
      </w:numPr>
      <w:contextualSpacing/>
    </w:pPr>
    <w:rPr>
      <w:rFonts w:asciiTheme="minorHAnsi" w:hAnsiTheme="minorHAnsi"/>
      <w:color w:val="auto"/>
      <w:sz w:val="22"/>
      <w:szCs w:val="22"/>
    </w:rPr>
  </w:style>
  <w:style w:type="paragraph" w:customStyle="1" w:styleId="Doc1">
    <w:name w:val="Doc1"/>
    <w:basedOn w:val="BodyText"/>
    <w:next w:val="Doc2"/>
    <w:rsid w:val="00ED2EDA"/>
    <w:pPr>
      <w:keepNext/>
      <w:widowControl w:val="0"/>
      <w:numPr>
        <w:numId w:val="33"/>
      </w:numPr>
      <w:tabs>
        <w:tab w:val="left" w:pos="425"/>
        <w:tab w:val="left" w:pos="709"/>
      </w:tabs>
      <w:spacing w:before="120" w:after="0"/>
      <w:outlineLvl w:val="0"/>
    </w:pPr>
    <w:rPr>
      <w:rFonts w:ascii="Arial Bold" w:eastAsia="SimSun" w:hAnsi="Arial Bold" w:cs="Times New Roman"/>
      <w:b/>
      <w:color w:val="auto"/>
      <w:sz w:val="18"/>
      <w:szCs w:val="22"/>
      <w:lang w:val="en-AU" w:eastAsia="en-AU"/>
    </w:rPr>
  </w:style>
  <w:style w:type="paragraph" w:customStyle="1" w:styleId="Doc2">
    <w:name w:val="Doc2"/>
    <w:basedOn w:val="Doc1"/>
    <w:next w:val="BodyTextIndent"/>
    <w:rsid w:val="00ED2EDA"/>
    <w:pPr>
      <w:numPr>
        <w:ilvl w:val="1"/>
      </w:numPr>
      <w:outlineLvl w:val="1"/>
    </w:pPr>
    <w:rPr>
      <w:rFonts w:ascii="Arial" w:hAnsi="Arial"/>
      <w:b w:val="0"/>
      <w:szCs w:val="18"/>
    </w:rPr>
  </w:style>
  <w:style w:type="paragraph" w:customStyle="1" w:styleId="Doc3">
    <w:name w:val="Doc3"/>
    <w:basedOn w:val="Doc2"/>
    <w:rsid w:val="00ED2EDA"/>
    <w:pPr>
      <w:keepNext w:val="0"/>
      <w:numPr>
        <w:ilvl w:val="2"/>
      </w:numPr>
      <w:tabs>
        <w:tab w:val="left" w:pos="851"/>
      </w:tabs>
      <w:spacing w:before="60"/>
      <w:outlineLvl w:val="2"/>
    </w:pPr>
    <w:rPr>
      <w:rFonts w:cs="Arial"/>
    </w:rPr>
  </w:style>
  <w:style w:type="paragraph" w:styleId="BodyTextIndent">
    <w:name w:val="Body Text Indent"/>
    <w:basedOn w:val="Normal"/>
    <w:link w:val="BodyTextIndentChar"/>
    <w:uiPriority w:val="99"/>
    <w:semiHidden/>
    <w:unhideWhenUsed/>
    <w:rsid w:val="00ED2EDA"/>
    <w:pPr>
      <w:spacing w:after="120"/>
      <w:ind w:left="360"/>
    </w:pPr>
    <w:rPr>
      <w:rFonts w:asciiTheme="minorHAnsi" w:hAnsiTheme="minorHAnsi"/>
      <w:color w:val="auto"/>
      <w:sz w:val="22"/>
      <w:szCs w:val="22"/>
    </w:rPr>
  </w:style>
  <w:style w:type="character" w:customStyle="1" w:styleId="BodyTextIndentChar">
    <w:name w:val="Body Text Indent Char"/>
    <w:basedOn w:val="DefaultParagraphFont"/>
    <w:link w:val="BodyTextIndent"/>
    <w:uiPriority w:val="99"/>
    <w:semiHidden/>
    <w:rsid w:val="00ED2EDA"/>
    <w:rPr>
      <w:rFonts w:asciiTheme="minorHAnsi" w:hAnsiTheme="minorHAnsi"/>
      <w:sz w:val="22"/>
      <w:szCs w:val="22"/>
      <w:lang w:val="en-GB"/>
    </w:rPr>
  </w:style>
  <w:style w:type="paragraph" w:customStyle="1" w:styleId="TableParagraph">
    <w:name w:val="Table Paragraph"/>
    <w:basedOn w:val="Normal"/>
    <w:uiPriority w:val="1"/>
    <w:qFormat/>
    <w:rsid w:val="007A4F4E"/>
    <w:pPr>
      <w:widowControl w:val="0"/>
      <w:autoSpaceDE w:val="0"/>
      <w:autoSpaceDN w:val="0"/>
      <w:spacing w:before="159"/>
      <w:ind w:left="55"/>
    </w:pPr>
    <w:rPr>
      <w:rFonts w:ascii="Hexagon Akkurat Light" w:eastAsia="Hexagon Akkurat Light" w:hAnsi="Hexagon Akkurat Light" w:cs="Hexagon Akkurat Light"/>
      <w:color w:val="auto"/>
      <w:sz w:val="22"/>
      <w:szCs w:val="22"/>
      <w:lang w:val="en-US" w:bidi="en-US"/>
    </w:rPr>
  </w:style>
  <w:style w:type="character" w:styleId="UnresolvedMention">
    <w:name w:val="Unresolved Mention"/>
    <w:basedOn w:val="DefaultParagraphFont"/>
    <w:uiPriority w:val="99"/>
    <w:semiHidden/>
    <w:unhideWhenUsed/>
    <w:rsid w:val="00A1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xagonmining.com/privacy-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al.min@hexagonmin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xagonmining.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O\OneDrive%20-%20Hexagon\Desktop\Update%20T&amp;Cs\Hexagon_Styles_Template.dotx" TargetMode="External"/></Relationships>
</file>

<file path=word/theme/theme1.xml><?xml version="1.0" encoding="utf-8"?>
<a:theme xmlns:a="http://schemas.openxmlformats.org/drawingml/2006/main" name="Office Theme">
  <a:themeElements>
    <a:clrScheme name="Hexagon">
      <a:dk1>
        <a:srgbClr val="FFFFFF"/>
      </a:dk1>
      <a:lt1>
        <a:srgbClr val="333333"/>
      </a:lt1>
      <a:dk2>
        <a:srgbClr val="FFFFFF"/>
      </a:dk2>
      <a:lt2>
        <a:srgbClr val="0097BA"/>
      </a:lt2>
      <a:accent1>
        <a:srgbClr val="0097BA"/>
      </a:accent1>
      <a:accent2>
        <a:srgbClr val="85CDDB"/>
      </a:accent2>
      <a:accent3>
        <a:srgbClr val="A5D867"/>
      </a:accent3>
      <a:accent4>
        <a:srgbClr val="0097BA"/>
      </a:accent4>
      <a:accent5>
        <a:srgbClr val="85CDDB"/>
      </a:accent5>
      <a:accent6>
        <a:srgbClr val="A5D867"/>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39F0-5290-4FB0-BADA-3C6A1E8E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Hexagon_Styles_Template</Template>
  <TotalTime>18</TotalTime>
  <Pages>12</Pages>
  <Words>6675</Words>
  <Characters>38051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Joanne</dc:creator>
  <cp:keywords/>
  <dc:description/>
  <cp:lastModifiedBy>CARLSON Joanne</cp:lastModifiedBy>
  <cp:revision>4</cp:revision>
  <dcterms:created xsi:type="dcterms:W3CDTF">2021-10-11T16:57:00Z</dcterms:created>
  <dcterms:modified xsi:type="dcterms:W3CDTF">2021-10-11T17:15:00Z</dcterms:modified>
</cp:coreProperties>
</file>